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hAnsi="黑体" w:eastAsia="黑体"/>
          <w:b w:val="0"/>
          <w:bCs w:val="0"/>
          <w:sz w:val="44"/>
          <w:szCs w:val="44"/>
        </w:rPr>
      </w:pPr>
      <w:r>
        <w:rPr>
          <w:rFonts w:hint="eastAsia" w:ascii="黑体" w:hAnsi="黑体" w:eastAsia="黑体" w:cs="Times New Roman"/>
          <w:sz w:val="44"/>
          <w:szCs w:val="36"/>
        </w:rPr>
        <w:t>新余市成人教育中心2018年</w:t>
      </w:r>
      <w:r>
        <w:rPr>
          <w:rFonts w:hint="eastAsia" w:ascii="黑体" w:hAnsi="黑体" w:eastAsia="黑体" w:cs="Times New Roman"/>
          <w:sz w:val="44"/>
          <w:szCs w:val="36"/>
          <w:lang w:eastAsia="zh-CN"/>
        </w:rPr>
        <w:t>度</w:t>
      </w:r>
      <w:r>
        <w:rPr>
          <w:rFonts w:hint="eastAsia" w:ascii="黑体" w:hAnsi="黑体" w:eastAsia="黑体" w:cs="Times New Roman"/>
          <w:sz w:val="44"/>
          <w:szCs w:val="36"/>
        </w:rPr>
        <w:t>部门决算</w:t>
      </w:r>
    </w:p>
    <w:p>
      <w:pPr>
        <w:spacing w:line="600" w:lineRule="exact"/>
        <w:jc w:val="center"/>
        <w:rPr>
          <w:rFonts w:hint="eastAsia" w:ascii="黑体" w:hAnsi="黑体" w:eastAsia="黑体" w:cs="黑体"/>
          <w:b w:val="0"/>
          <w:bCs w:val="0"/>
          <w:sz w:val="40"/>
          <w:szCs w:val="40"/>
        </w:rPr>
      </w:pPr>
    </w:p>
    <w:p>
      <w:pPr>
        <w:spacing w:line="600" w:lineRule="exact"/>
        <w:jc w:val="center"/>
        <w:rPr>
          <w:rFonts w:eastAsia="Times New Roman"/>
          <w:b w:val="0"/>
          <w:bCs w:val="0"/>
          <w:sz w:val="40"/>
          <w:szCs w:val="40"/>
        </w:rPr>
      </w:pPr>
      <w:r>
        <w:rPr>
          <w:rFonts w:hint="eastAsia" w:ascii="黑体" w:hAnsi="黑体" w:eastAsia="黑体" w:cs="黑体"/>
          <w:b w:val="0"/>
          <w:bCs w:val="0"/>
          <w:sz w:val="40"/>
          <w:szCs w:val="40"/>
        </w:rPr>
        <w:t>目</w:t>
      </w:r>
      <w:r>
        <w:rPr>
          <w:rFonts w:hint="eastAsia" w:ascii="黑体" w:hAnsi="黑体" w:eastAsia="黑体" w:cs="黑体"/>
          <w:b w:val="0"/>
          <w:bCs w:val="0"/>
          <w:sz w:val="40"/>
          <w:szCs w:val="40"/>
          <w:lang w:val="en-US" w:eastAsia="zh-CN"/>
        </w:rPr>
        <w:t xml:space="preserve">  </w:t>
      </w:r>
      <w:r>
        <w:rPr>
          <w:rFonts w:hint="eastAsia" w:ascii="黑体" w:hAnsi="黑体" w:eastAsia="黑体" w:cs="黑体"/>
          <w:b w:val="0"/>
          <w:bCs w:val="0"/>
          <w:sz w:val="40"/>
          <w:szCs w:val="40"/>
        </w:rPr>
        <w:t>录</w:t>
      </w:r>
    </w:p>
    <w:p>
      <w:pPr>
        <w:spacing w:line="600" w:lineRule="exact"/>
        <w:ind w:firstLine="640"/>
        <w:jc w:val="left"/>
        <w:rPr>
          <w:rFonts w:eastAsia="Times New Roman"/>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1"/>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第一部分</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部门概况</w:t>
      </w:r>
    </w:p>
    <w:p>
      <w:pPr>
        <w:keepNext w:val="0"/>
        <w:keepLines w:val="0"/>
        <w:pageBreakBefore w:val="0"/>
        <w:widowControl/>
        <w:kinsoku/>
        <w:wordWrap/>
        <w:overflowPunct/>
        <w:topLinePunct w:val="0"/>
        <w:autoSpaceDE/>
        <w:autoSpaceDN/>
        <w:bidi w:val="0"/>
        <w:adjustRightInd/>
        <w:snapToGrid/>
        <w:spacing w:line="600" w:lineRule="exact"/>
        <w:ind w:firstLine="1296" w:firstLineChars="405"/>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1296" w:firstLineChars="405"/>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二、部门基本情况</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ascii="黑体" w:hAnsi="黑体" w:eastAsia="黑体"/>
          <w:b/>
          <w:bCs/>
          <w:sz w:val="32"/>
          <w:szCs w:val="32"/>
        </w:rPr>
      </w:pPr>
      <w:r>
        <w:rPr>
          <w:rFonts w:hint="eastAsia" w:ascii="黑体" w:hAnsi="黑体" w:eastAsia="黑体" w:cs="Times New Roman"/>
          <w:sz w:val="32"/>
          <w:szCs w:val="32"/>
        </w:rPr>
        <w:t xml:space="preserve">第二部分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2018年</w:t>
      </w:r>
      <w:r>
        <w:rPr>
          <w:rFonts w:hint="eastAsia" w:ascii="黑体" w:hAnsi="黑体" w:eastAsia="黑体" w:cs="Times New Roman"/>
          <w:sz w:val="32"/>
          <w:szCs w:val="32"/>
          <w:lang w:eastAsia="zh-CN"/>
        </w:rPr>
        <w:t>度</w:t>
      </w:r>
      <w:r>
        <w:rPr>
          <w:rFonts w:hint="eastAsia" w:ascii="黑体" w:hAnsi="黑体" w:eastAsia="黑体" w:cs="Times New Roman"/>
          <w:sz w:val="32"/>
          <w:szCs w:val="32"/>
        </w:rPr>
        <w:t>部门决算表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一、收入支出决算总表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二、收入决算表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三、支出决算表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四、财政拨款收入支出决算总表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五、一般公共预算财政拨款支出决算表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六、一般公共预算财政拨款基本支出决算表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七、一般公共预算财政拨款“三公”经费支出决算表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九、国有资产占用情况表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 xml:space="preserve">第三部分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度</w:t>
      </w:r>
      <w:r>
        <w:rPr>
          <w:rFonts w:hint="eastAsia" w:ascii="仿宋" w:hAnsi="仿宋" w:eastAsia="仿宋" w:cs="宋体"/>
          <w:kern w:val="0"/>
          <w:sz w:val="32"/>
          <w:szCs w:val="32"/>
        </w:rPr>
        <w:t>部门决算情况说明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一、收入决算情况说明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二、支出决算情况说明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三、财政拨款支出决算情况说明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四、一般公共预算财政拨款基本基础决算情况说明</w:t>
      </w:r>
    </w:p>
    <w:p>
      <w:pPr>
        <w:keepNext w:val="0"/>
        <w:keepLines w:val="0"/>
        <w:pageBreakBefore w:val="0"/>
        <w:widowControl/>
        <w:kinsoku/>
        <w:wordWrap/>
        <w:overflowPunct/>
        <w:topLinePunct w:val="0"/>
        <w:autoSpaceDE/>
        <w:autoSpaceDN/>
        <w:bidi w:val="0"/>
        <w:adjustRightInd/>
        <w:snapToGrid/>
        <w:spacing w:line="600" w:lineRule="exact"/>
        <w:ind w:left="638" w:leftChars="304" w:firstLine="640" w:firstLineChars="2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五、一般公共预算财政拨款“三公”经费支出决算情况说明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六、机关运行经费情况说明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七、政府采购支出情况说明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八、政府性基金预算财政拨款收入支出决算说明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九、国有资产占用情况说明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十、预算绩效情况说明</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第四部分</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名词解释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Times New Roman"/>
          <w:sz w:val="28"/>
          <w:szCs w:val="28"/>
        </w:rPr>
      </w:pPr>
    </w:p>
    <w:p>
      <w:pPr>
        <w:spacing w:line="600" w:lineRule="exact"/>
        <w:jc w:val="center"/>
        <w:rPr>
          <w:rFonts w:eastAsia="Times New Roman"/>
          <w:sz w:val="28"/>
          <w:szCs w:val="28"/>
        </w:rPr>
      </w:pPr>
    </w:p>
    <w:p>
      <w:pPr>
        <w:spacing w:line="600" w:lineRule="exact"/>
        <w:jc w:val="center"/>
        <w:rPr>
          <w:rFonts w:eastAsia="Times New Roman"/>
          <w:sz w:val="36"/>
          <w:szCs w:val="36"/>
        </w:rPr>
      </w:pPr>
    </w:p>
    <w:p>
      <w:pPr>
        <w:spacing w:line="600" w:lineRule="exact"/>
        <w:jc w:val="center"/>
        <w:rPr>
          <w:rFonts w:eastAsia="Times New Roman"/>
          <w:sz w:val="36"/>
          <w:szCs w:val="36"/>
        </w:rPr>
      </w:pPr>
    </w:p>
    <w:p>
      <w:pPr>
        <w:spacing w:line="600" w:lineRule="exact"/>
        <w:jc w:val="center"/>
        <w:rPr>
          <w:rFonts w:eastAsia="Times New Roman"/>
          <w:sz w:val="36"/>
          <w:szCs w:val="36"/>
        </w:rPr>
      </w:pPr>
    </w:p>
    <w:p>
      <w:pPr>
        <w:spacing w:line="600" w:lineRule="exact"/>
        <w:jc w:val="center"/>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44"/>
          <w:szCs w:val="44"/>
        </w:rPr>
      </w:pPr>
    </w:p>
    <w:p>
      <w:pPr>
        <w:widowControl/>
        <w:spacing w:line="580" w:lineRule="exact"/>
        <w:jc w:val="center"/>
        <w:rPr>
          <w:rFonts w:hint="eastAsia" w:ascii="宋体" w:hAnsi="宋体" w:eastAsia="宋体" w:cs="Times New Roman"/>
          <w:b/>
          <w:sz w:val="32"/>
          <w:szCs w:val="30"/>
        </w:rPr>
      </w:pPr>
      <w:r>
        <w:rPr>
          <w:rFonts w:hint="eastAsia" w:ascii="宋体" w:hAnsi="宋体" w:eastAsia="宋体" w:cs="Times New Roman"/>
          <w:b/>
          <w:sz w:val="32"/>
          <w:szCs w:val="30"/>
        </w:rPr>
        <w:t>第一部分</w:t>
      </w:r>
      <w:r>
        <w:rPr>
          <w:rFonts w:hint="eastAsia" w:ascii="宋体" w:hAnsi="宋体" w:eastAsia="宋体" w:cs="Times New Roman"/>
          <w:b/>
          <w:sz w:val="32"/>
          <w:szCs w:val="30"/>
          <w:lang w:val="en-US" w:eastAsia="zh-CN"/>
        </w:rPr>
        <w:t xml:space="preserve">  </w:t>
      </w:r>
      <w:r>
        <w:rPr>
          <w:rFonts w:hint="eastAsia" w:ascii="宋体" w:hAnsi="宋体" w:eastAsia="宋体" w:cs="Times New Roman"/>
          <w:b/>
          <w:sz w:val="32"/>
          <w:szCs w:val="30"/>
        </w:rPr>
        <w:t>部门概况</w:t>
      </w:r>
    </w:p>
    <w:p>
      <w:pPr>
        <w:spacing w:line="360" w:lineRule="auto"/>
        <w:ind w:firstLine="630"/>
        <w:jc w:val="center"/>
        <w:rPr>
          <w:rFonts w:ascii="新宋体" w:hAnsi="新宋体" w:eastAsia="新宋体"/>
          <w:sz w:val="28"/>
          <w:szCs w:val="28"/>
        </w:rPr>
      </w:pPr>
    </w:p>
    <w:p>
      <w:pPr>
        <w:numPr>
          <w:ilvl w:val="0"/>
          <w:numId w:val="1"/>
        </w:numPr>
        <w:spacing w:line="360" w:lineRule="auto"/>
        <w:ind w:firstLine="630"/>
        <w:jc w:val="left"/>
        <w:rPr>
          <w:rFonts w:ascii="黑体" w:hAnsi="黑体" w:eastAsia="黑体"/>
          <w:sz w:val="30"/>
          <w:szCs w:val="30"/>
        </w:rPr>
      </w:pPr>
      <w:r>
        <w:rPr>
          <w:rFonts w:hint="eastAsia" w:ascii="黑体" w:hAnsi="黑体" w:eastAsia="黑体" w:cs="黑体"/>
          <w:sz w:val="30"/>
          <w:szCs w:val="30"/>
        </w:rPr>
        <w:t>部门主要职能</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负责统筹、规划、协调、实施全市各级各类成人教育；构建我市现代远程教育、继续教育、终生教育体系；开展广播电视大学学历教育和非学历教育工作；承担全市社区大学继续教育工作；承担新余市农民实用技术和转移性培训工作；承担原市财校、市商校、市财校的教育工作职能；开展城市社区教育工作；完成（承担）上级主管部门赋予的成人教育及其他工作。</w:t>
      </w:r>
    </w:p>
    <w:p>
      <w:pPr>
        <w:spacing w:line="360" w:lineRule="auto"/>
        <w:ind w:firstLine="645"/>
        <w:rPr>
          <w:rFonts w:ascii="宋体"/>
          <w:kern w:val="1"/>
          <w:sz w:val="28"/>
          <w:szCs w:val="28"/>
        </w:rPr>
      </w:pPr>
    </w:p>
    <w:p>
      <w:pPr>
        <w:numPr>
          <w:ilvl w:val="0"/>
          <w:numId w:val="1"/>
        </w:numPr>
        <w:spacing w:line="360" w:lineRule="auto"/>
        <w:ind w:firstLine="630"/>
        <w:jc w:val="left"/>
        <w:rPr>
          <w:rFonts w:ascii="黑体" w:hAnsi="黑体" w:eastAsia="黑体"/>
          <w:sz w:val="30"/>
          <w:szCs w:val="30"/>
        </w:rPr>
      </w:pPr>
      <w:r>
        <w:rPr>
          <w:rFonts w:hint="eastAsia" w:ascii="黑体" w:hAnsi="黑体" w:eastAsia="黑体" w:cs="黑体"/>
          <w:sz w:val="30"/>
          <w:szCs w:val="30"/>
        </w:rPr>
        <w:t>部门基本情况</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新余市成人教育中心（江西广播电视大学新余市分校）是根据余编字[2001]16号文确定的为市政府直属正县级全额拨款事业单位，实行两块牌子一套人马，业务上归口市教育局指导；内设党政办公室、教务处、总务处、招生办公室、网络教育处、培训教育处、信息技术处、社区大学办公室共8个正科级职能管理机构。纳入本套部门决算汇编范围的单位共1个，核定人员编制44名，年末实有人数62人，其中在职在岗教职工37人，离岗创业1人，退休人员24人；年末在校学生5813人。</w:t>
      </w:r>
    </w:p>
    <w:p>
      <w:pPr>
        <w:spacing w:line="360" w:lineRule="auto"/>
        <w:ind w:firstLine="560" w:firstLineChars="200"/>
        <w:rPr>
          <w:rFonts w:hint="eastAsia" w:ascii="宋体" w:hAnsi="宋体" w:cs="宋体"/>
          <w:kern w:val="1"/>
          <w:sz w:val="28"/>
          <w:szCs w:val="28"/>
        </w:rPr>
      </w:pPr>
    </w:p>
    <w:p>
      <w:pPr>
        <w:spacing w:line="360" w:lineRule="auto"/>
        <w:ind w:firstLine="560" w:firstLineChars="200"/>
        <w:rPr>
          <w:rFonts w:hint="eastAsia" w:ascii="宋体" w:hAnsi="宋体" w:cs="宋体"/>
          <w:kern w:val="1"/>
          <w:sz w:val="28"/>
          <w:szCs w:val="28"/>
        </w:rPr>
      </w:pPr>
    </w:p>
    <w:p>
      <w:pPr>
        <w:spacing w:line="360" w:lineRule="auto"/>
        <w:ind w:firstLine="560" w:firstLineChars="200"/>
        <w:rPr>
          <w:rFonts w:hint="eastAsia" w:ascii="宋体" w:hAnsi="宋体" w:cs="宋体"/>
          <w:kern w:val="1"/>
          <w:sz w:val="28"/>
          <w:szCs w:val="28"/>
        </w:rPr>
      </w:pPr>
    </w:p>
    <w:p>
      <w:pPr>
        <w:spacing w:line="360" w:lineRule="auto"/>
        <w:ind w:firstLine="560" w:firstLineChars="200"/>
        <w:rPr>
          <w:rFonts w:hint="eastAsia" w:ascii="宋体" w:hAnsi="宋体" w:cs="宋体"/>
          <w:kern w:val="1"/>
          <w:sz w:val="28"/>
          <w:szCs w:val="28"/>
        </w:rPr>
      </w:pPr>
    </w:p>
    <w:p>
      <w:pPr>
        <w:spacing w:line="360" w:lineRule="auto"/>
        <w:ind w:firstLine="560" w:firstLineChars="200"/>
        <w:rPr>
          <w:rFonts w:hint="eastAsia" w:ascii="宋体" w:hAnsi="宋体" w:cs="宋体"/>
          <w:kern w:val="1"/>
          <w:sz w:val="28"/>
          <w:szCs w:val="28"/>
        </w:rPr>
      </w:pPr>
    </w:p>
    <w:p>
      <w:pPr>
        <w:spacing w:line="360" w:lineRule="auto"/>
        <w:jc w:val="center"/>
        <w:rPr>
          <w:rFonts w:hint="eastAsia" w:ascii="宋体" w:hAnsi="宋体" w:eastAsia="宋体" w:cs="宋体"/>
          <w:kern w:val="1"/>
          <w:sz w:val="32"/>
          <w:szCs w:val="32"/>
        </w:rPr>
      </w:pPr>
      <w:r>
        <w:rPr>
          <w:rFonts w:hint="eastAsia" w:ascii="宋体" w:hAnsi="宋体" w:eastAsia="宋体" w:cs="宋体"/>
          <w:b/>
          <w:bCs/>
          <w:sz w:val="32"/>
          <w:szCs w:val="32"/>
        </w:rPr>
        <w:t>第二部分  2018年</w:t>
      </w:r>
      <w:r>
        <w:rPr>
          <w:rFonts w:hint="eastAsia" w:ascii="宋体" w:hAnsi="宋体" w:cs="宋体"/>
          <w:b/>
          <w:bCs/>
          <w:sz w:val="32"/>
          <w:szCs w:val="32"/>
          <w:lang w:eastAsia="zh-CN"/>
        </w:rPr>
        <w:t>度</w:t>
      </w:r>
      <w:r>
        <w:rPr>
          <w:rFonts w:hint="eastAsia" w:ascii="宋体" w:hAnsi="宋体" w:eastAsia="宋体" w:cs="宋体"/>
          <w:b/>
          <w:bCs/>
          <w:sz w:val="32"/>
          <w:szCs w:val="32"/>
        </w:rPr>
        <w:t>部门决算表</w:t>
      </w:r>
    </w:p>
    <w:p>
      <w:pPr>
        <w:spacing w:line="360" w:lineRule="auto"/>
        <w:ind w:left="0" w:leftChars="0" w:firstLine="0" w:firstLineChars="0"/>
        <w:jc w:val="left"/>
      </w:pPr>
      <w:r>
        <w:drawing>
          <wp:inline distT="0" distB="0" distL="114300" distR="114300">
            <wp:extent cx="5481320" cy="4752340"/>
            <wp:effectExtent l="0" t="0" r="508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481320" cy="4752340"/>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r>
        <w:drawing>
          <wp:inline distT="0" distB="0" distL="114300" distR="114300">
            <wp:extent cx="5482590" cy="1943100"/>
            <wp:effectExtent l="0" t="0" r="381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482590" cy="1943100"/>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ind w:left="0" w:leftChars="0" w:firstLine="0" w:firstLineChars="0"/>
        <w:jc w:val="left"/>
      </w:pPr>
      <w:r>
        <w:drawing>
          <wp:inline distT="0" distB="0" distL="114300" distR="114300">
            <wp:extent cx="5485765" cy="1936750"/>
            <wp:effectExtent l="0" t="0" r="635"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485765" cy="1936750"/>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r>
        <w:drawing>
          <wp:inline distT="0" distB="0" distL="114300" distR="114300">
            <wp:extent cx="5479415" cy="4336415"/>
            <wp:effectExtent l="0" t="0" r="6985"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5479415" cy="4336415"/>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r>
        <w:drawing>
          <wp:inline distT="0" distB="0" distL="114300" distR="114300">
            <wp:extent cx="5480685" cy="3053080"/>
            <wp:effectExtent l="0" t="0" r="5715" b="139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480685" cy="3053080"/>
                    </a:xfrm>
                    <a:prstGeom prst="rect">
                      <a:avLst/>
                    </a:prstGeom>
                    <a:noFill/>
                    <a:ln>
                      <a:noFill/>
                    </a:ln>
                  </pic:spPr>
                </pic:pic>
              </a:graphicData>
            </a:graphic>
          </wp:inline>
        </w:drawing>
      </w:r>
    </w:p>
    <w:p>
      <w:pPr>
        <w:spacing w:line="360" w:lineRule="auto"/>
        <w:ind w:left="0" w:leftChars="0" w:firstLine="0" w:firstLineChars="0"/>
        <w:jc w:val="left"/>
      </w:pPr>
      <w:r>
        <w:drawing>
          <wp:inline distT="0" distB="0" distL="114300" distR="114300">
            <wp:extent cx="5477510" cy="9311005"/>
            <wp:effectExtent l="0" t="0" r="8890" b="44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5477510" cy="9311005"/>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ind w:left="0" w:leftChars="0" w:firstLine="0" w:firstLineChars="0"/>
        <w:jc w:val="left"/>
      </w:pPr>
      <w:r>
        <w:drawing>
          <wp:inline distT="0" distB="0" distL="114300" distR="114300">
            <wp:extent cx="5133975" cy="5295900"/>
            <wp:effectExtent l="0" t="0" r="952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2"/>
                    <a:stretch>
                      <a:fillRect/>
                    </a:stretch>
                  </pic:blipFill>
                  <pic:spPr>
                    <a:xfrm>
                      <a:off x="0" y="0"/>
                      <a:ext cx="5133975" cy="5295900"/>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r>
        <w:drawing>
          <wp:inline distT="0" distB="0" distL="114300" distR="114300">
            <wp:extent cx="5481320" cy="1658620"/>
            <wp:effectExtent l="0" t="0" r="5080" b="1778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3"/>
                    <a:stretch>
                      <a:fillRect/>
                    </a:stretch>
                  </pic:blipFill>
                  <pic:spPr>
                    <a:xfrm>
                      <a:off x="0" y="0"/>
                      <a:ext cx="5481320" cy="1658620"/>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ind w:left="0" w:leftChars="0" w:firstLine="0" w:firstLineChars="0"/>
        <w:jc w:val="left"/>
      </w:pPr>
    </w:p>
    <w:p>
      <w:pPr>
        <w:spacing w:line="360" w:lineRule="auto"/>
        <w:ind w:left="0" w:leftChars="0" w:firstLine="0" w:firstLineChars="0"/>
        <w:jc w:val="left"/>
      </w:pPr>
      <w:r>
        <w:drawing>
          <wp:inline distT="0" distB="0" distL="114300" distR="114300">
            <wp:extent cx="5210175" cy="3152775"/>
            <wp:effectExtent l="0" t="0" r="9525" b="952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4"/>
                    <a:stretch>
                      <a:fillRect/>
                    </a:stretch>
                  </pic:blipFill>
                  <pic:spPr>
                    <a:xfrm>
                      <a:off x="0" y="0"/>
                      <a:ext cx="5210175" cy="3152775"/>
                    </a:xfrm>
                    <a:prstGeom prst="rect">
                      <a:avLst/>
                    </a:prstGeom>
                    <a:noFill/>
                    <a:ln>
                      <a:noFill/>
                    </a:ln>
                  </pic:spPr>
                </pic:pic>
              </a:graphicData>
            </a:graphic>
          </wp:inline>
        </w:drawing>
      </w:r>
    </w:p>
    <w:p>
      <w:pPr>
        <w:spacing w:line="360" w:lineRule="auto"/>
        <w:ind w:left="0" w:leftChars="0" w:firstLine="0" w:firstLineChars="0"/>
        <w:jc w:val="left"/>
      </w:pPr>
    </w:p>
    <w:p>
      <w:pPr>
        <w:spacing w:line="360" w:lineRule="auto"/>
        <w:jc w:val="left"/>
        <w:rPr>
          <w:rFonts w:ascii="新宋体" w:hAnsi="新宋体" w:eastAsia="新宋体"/>
          <w:sz w:val="28"/>
          <w:szCs w:val="28"/>
        </w:rPr>
      </w:pPr>
    </w:p>
    <w:p>
      <w:pPr>
        <w:widowControl/>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rPr>
        <w:t>第</w:t>
      </w:r>
      <w:r>
        <w:rPr>
          <w:rFonts w:hint="eastAsia" w:ascii="宋体" w:hAnsi="宋体" w:eastAsia="宋体" w:cs="宋体"/>
          <w:b/>
          <w:bCs/>
          <w:sz w:val="32"/>
          <w:szCs w:val="32"/>
          <w:lang w:eastAsia="zh-CN"/>
        </w:rPr>
        <w:t>三</w:t>
      </w:r>
      <w:r>
        <w:rPr>
          <w:rFonts w:hint="eastAsia" w:ascii="宋体" w:hAnsi="宋体" w:eastAsia="宋体" w:cs="宋体"/>
          <w:b/>
          <w:bCs/>
          <w:sz w:val="32"/>
          <w:szCs w:val="32"/>
        </w:rPr>
        <w:t>部分  2018年</w:t>
      </w:r>
      <w:r>
        <w:rPr>
          <w:rFonts w:hint="eastAsia" w:ascii="宋体" w:hAnsi="宋体" w:cs="宋体"/>
          <w:b/>
          <w:bCs/>
          <w:sz w:val="32"/>
          <w:szCs w:val="32"/>
          <w:lang w:eastAsia="zh-CN"/>
        </w:rPr>
        <w:t>度</w:t>
      </w:r>
      <w:r>
        <w:rPr>
          <w:rFonts w:hint="eastAsia" w:ascii="宋体" w:hAnsi="宋体" w:eastAsia="宋体" w:cs="宋体"/>
          <w:b/>
          <w:bCs/>
          <w:sz w:val="32"/>
          <w:szCs w:val="32"/>
        </w:rPr>
        <w:t>部门决算情况说明</w:t>
      </w:r>
    </w:p>
    <w:p>
      <w:pPr>
        <w:spacing w:line="360" w:lineRule="auto"/>
        <w:ind w:firstLine="630"/>
        <w:jc w:val="left"/>
        <w:rPr>
          <w:rFonts w:ascii="新宋体" w:hAnsi="新宋体" w:eastAsia="新宋体"/>
          <w:sz w:val="28"/>
          <w:szCs w:val="28"/>
        </w:rPr>
      </w:pPr>
    </w:p>
    <w:p>
      <w:pPr>
        <w:spacing w:line="360" w:lineRule="auto"/>
        <w:ind w:firstLine="630"/>
        <w:jc w:val="left"/>
        <w:rPr>
          <w:rFonts w:ascii="黑体" w:hAnsi="黑体" w:eastAsia="黑体"/>
          <w:sz w:val="30"/>
          <w:szCs w:val="30"/>
        </w:rPr>
      </w:pPr>
      <w:r>
        <w:rPr>
          <w:rFonts w:hint="eastAsia" w:ascii="黑体" w:hAnsi="黑体" w:eastAsia="黑体" w:cs="黑体"/>
          <w:sz w:val="30"/>
          <w:szCs w:val="30"/>
        </w:rPr>
        <w:t>一、收入决算情况说明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本单位2018年度收入总计1680.55万元，其中</w:t>
      </w:r>
      <w:r>
        <w:rPr>
          <w:rFonts w:hint="eastAsia" w:ascii="仿宋" w:hAnsi="仿宋" w:eastAsia="仿宋" w:cs="Times New Roman"/>
          <w:sz w:val="30"/>
          <w:szCs w:val="30"/>
          <w:lang w:eastAsia="zh-CN"/>
        </w:rPr>
        <w:t>年初</w:t>
      </w:r>
      <w:r>
        <w:rPr>
          <w:rFonts w:hint="eastAsia" w:ascii="仿宋" w:hAnsi="仿宋" w:eastAsia="仿宋" w:cs="Times New Roman"/>
          <w:sz w:val="30"/>
          <w:szCs w:val="30"/>
        </w:rPr>
        <w:t>结转和结余122.01万元，用事业基金弥补收支差额127.42万元，较上年收入总计1403.76万元增加276.79万元，增长19.72 %；本年收入合计1431.13万元，较上年增加216.7万元，增长17.84 %,主要原因是：今年事业收入较去年增长了24.54%,为市民学习中心改建工程准备了一定的资金。</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本年收入的具体构成为：财政拨款收入562.49万元，占39.3%；事业收入840.08万元，占58.7%；上级补助收入28.56万元，占2%。</w:t>
      </w:r>
    </w:p>
    <w:p>
      <w:pPr>
        <w:spacing w:line="360" w:lineRule="auto"/>
        <w:ind w:firstLine="630"/>
        <w:jc w:val="left"/>
        <w:rPr>
          <w:rFonts w:ascii="新宋体" w:hAnsi="新宋体" w:eastAsia="新宋体"/>
          <w:sz w:val="30"/>
          <w:szCs w:val="30"/>
        </w:rPr>
      </w:pPr>
    </w:p>
    <w:p>
      <w:pPr>
        <w:spacing w:line="360" w:lineRule="auto"/>
        <w:ind w:left="630"/>
        <w:jc w:val="left"/>
        <w:rPr>
          <w:rFonts w:ascii="新宋体" w:hAnsi="新宋体" w:eastAsia="新宋体"/>
          <w:b/>
          <w:bCs/>
          <w:sz w:val="28"/>
          <w:szCs w:val="28"/>
        </w:rPr>
      </w:pPr>
      <w:r>
        <w:rPr>
          <w:rFonts w:hint="eastAsia" w:ascii="黑体" w:hAnsi="黑体" w:eastAsia="黑体" w:cs="黑体"/>
          <w:sz w:val="30"/>
          <w:szCs w:val="30"/>
        </w:rPr>
        <w:t>二、支出决算情况说明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本单位2018年度支出总计1680.55万元，其中本年支出合计1488.12万元，较上年</w:t>
      </w:r>
      <w:r>
        <w:rPr>
          <w:rFonts w:hint="eastAsia" w:ascii="仿宋" w:hAnsi="仿宋" w:eastAsia="仿宋" w:cs="Times New Roman"/>
          <w:sz w:val="30"/>
          <w:szCs w:val="30"/>
          <w:lang w:eastAsia="zh-CN"/>
        </w:rPr>
        <w:t>支出合计</w:t>
      </w:r>
      <w:r>
        <w:rPr>
          <w:rFonts w:hint="eastAsia" w:ascii="仿宋" w:hAnsi="仿宋" w:eastAsia="仿宋" w:cs="Times New Roman"/>
          <w:sz w:val="30"/>
          <w:szCs w:val="30"/>
        </w:rPr>
        <w:t>增加236.69万元，增长18.91%，主要原因是：1、市民学习中心今年下半年开工改建，大型修缮费用增加；2、以前年度上缴合作院校的费用发票今年大部分清理到账，导致上缴上级支出大幅增加，继而本年支出增加。年末结转结余156.99万元，较上年增加28.67%，主要原因是：其他资金分担了部分支出。</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本年支出的具体构成为：基本支出1094.47万元，占73.55%，其中：人员经费687.08万元，占基本支出的62.78 %，日常公用经费407.39万元，占基本支出的37.22 %;</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项目支出75.64万元，占5.08%;</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上缴上级支出318.02万元，占21.37%。</w:t>
      </w:r>
    </w:p>
    <w:p>
      <w:pPr>
        <w:spacing w:line="360" w:lineRule="auto"/>
        <w:ind w:firstLine="630"/>
        <w:jc w:val="left"/>
        <w:rPr>
          <w:rFonts w:ascii="新宋体" w:hAnsi="新宋体" w:eastAsia="新宋体"/>
          <w:sz w:val="30"/>
          <w:szCs w:val="30"/>
        </w:rPr>
      </w:pPr>
    </w:p>
    <w:p>
      <w:pPr>
        <w:numPr>
          <w:ilvl w:val="0"/>
          <w:numId w:val="1"/>
        </w:numPr>
        <w:spacing w:line="360" w:lineRule="auto"/>
        <w:ind w:firstLine="630"/>
        <w:jc w:val="left"/>
        <w:rPr>
          <w:rFonts w:ascii="黑体" w:hAnsi="黑体" w:eastAsia="黑体"/>
          <w:sz w:val="30"/>
          <w:szCs w:val="30"/>
        </w:rPr>
      </w:pPr>
      <w:r>
        <w:rPr>
          <w:rFonts w:hint="eastAsia" w:ascii="黑体" w:hAnsi="黑体" w:eastAsia="黑体" w:cs="黑体"/>
          <w:sz w:val="30"/>
          <w:szCs w:val="30"/>
        </w:rPr>
        <w:t>财政拨款支出决算情况说明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2018年度财政拨款本年支出年初预算数为575.11万元，决算数为527.5万元，完成年初预算的91.72 %；年末财政拨款结转和结余年初预算数为0万元，决算数为156.99万元，预决算差额156.99万元。预决算差异的主要原因是：非财政拨款的资金分流了财政拨款支出。其中基本支出487.7万元，项目支出39.8万元。</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按功能分类科目分：</w:t>
      </w:r>
      <w:r>
        <w:rPr>
          <w:rFonts w:hint="eastAsia" w:ascii="仿宋" w:hAnsi="仿宋" w:eastAsia="仿宋" w:cs="Times New Roman"/>
          <w:sz w:val="30"/>
          <w:szCs w:val="30"/>
          <w:lang w:val="zh-CN"/>
        </w:rPr>
        <w:t>教育</w:t>
      </w:r>
      <w:r>
        <w:rPr>
          <w:rFonts w:hint="eastAsia" w:ascii="仿宋" w:hAnsi="仿宋" w:eastAsia="仿宋" w:cs="Times New Roman"/>
          <w:sz w:val="30"/>
          <w:szCs w:val="30"/>
        </w:rPr>
        <w:t>支出</w:t>
      </w:r>
      <w:r>
        <w:rPr>
          <w:rFonts w:hint="eastAsia" w:ascii="仿宋" w:hAnsi="仿宋" w:eastAsia="仿宋" w:cs="Times New Roman"/>
          <w:sz w:val="30"/>
          <w:szCs w:val="30"/>
          <w:lang w:eastAsia="zh-CN"/>
        </w:rPr>
        <w:t>的成人广播电视教育支出</w:t>
      </w:r>
      <w:r>
        <w:rPr>
          <w:rFonts w:hint="eastAsia" w:ascii="仿宋" w:hAnsi="仿宋" w:eastAsia="仿宋" w:cs="Times New Roman"/>
          <w:sz w:val="30"/>
          <w:szCs w:val="30"/>
        </w:rPr>
        <w:t>年初预算数为575.11万元，决算数为527.5万元，完成年初预算的91.72%。预决算差异的主要原因是：非财政拨款的</w:t>
      </w:r>
      <w:r>
        <w:rPr>
          <w:rFonts w:hint="eastAsia" w:ascii="仿宋" w:hAnsi="仿宋" w:eastAsia="仿宋" w:cs="Times New Roman"/>
          <w:sz w:val="30"/>
          <w:szCs w:val="30"/>
          <w:lang w:eastAsia="zh-CN"/>
        </w:rPr>
        <w:t>其他</w:t>
      </w:r>
      <w:r>
        <w:rPr>
          <w:rFonts w:hint="eastAsia" w:ascii="仿宋" w:hAnsi="仿宋" w:eastAsia="仿宋" w:cs="Times New Roman"/>
          <w:sz w:val="30"/>
          <w:szCs w:val="30"/>
        </w:rPr>
        <w:t>资金分流了财政拨款支出。</w:t>
      </w:r>
    </w:p>
    <w:p>
      <w:pPr>
        <w:widowControl w:val="0"/>
        <w:ind w:firstLine="630"/>
        <w:jc w:val="left"/>
        <w:rPr>
          <w:rFonts w:hint="eastAsia" w:ascii="仿宋" w:hAnsi="仿宋" w:eastAsia="仿宋" w:cs="Times New Roman"/>
          <w:sz w:val="30"/>
          <w:szCs w:val="30"/>
        </w:rPr>
      </w:pPr>
    </w:p>
    <w:p>
      <w:pPr>
        <w:spacing w:line="360" w:lineRule="auto"/>
        <w:ind w:firstLine="600" w:firstLineChars="200"/>
        <w:jc w:val="left"/>
        <w:rPr>
          <w:rFonts w:ascii="黑体" w:hAnsi="黑体" w:eastAsia="黑体"/>
          <w:sz w:val="30"/>
          <w:szCs w:val="30"/>
        </w:rPr>
      </w:pPr>
      <w:r>
        <w:rPr>
          <w:rFonts w:hint="eastAsia" w:ascii="黑体" w:hAnsi="黑体" w:eastAsia="黑体" w:cs="黑体"/>
          <w:sz w:val="30"/>
          <w:szCs w:val="30"/>
        </w:rPr>
        <w:t>四、一般公共预算财政拨款基本支出决算情况说明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本单位2018年度一般公共预算财政拨款基本支出487.7万元，按经济分类科目分其中人员经费支出462.67万元，公用经费支出25.03万元，具体为</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lang w:eastAsia="zh-CN"/>
        </w:rPr>
        <w:t>（一）</w:t>
      </w:r>
      <w:r>
        <w:rPr>
          <w:rFonts w:hint="eastAsia" w:ascii="仿宋" w:hAnsi="仿宋" w:eastAsia="仿宋" w:cs="Times New Roman"/>
          <w:sz w:val="30"/>
          <w:szCs w:val="30"/>
        </w:rPr>
        <w:t>工资福利支出455.27万元，较上年增加49.19万元，增长12.11%，主要原因是：在职人员的奖励金及住房公积金，按要求今年全部从对个人和家庭补助支出移除放至工资福利支出中，导致支出增加。</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lang w:eastAsia="zh-CN"/>
        </w:rPr>
        <w:t>（二）</w:t>
      </w:r>
      <w:r>
        <w:rPr>
          <w:rFonts w:hint="eastAsia" w:ascii="仿宋" w:hAnsi="仿宋" w:eastAsia="仿宋" w:cs="Times New Roman"/>
          <w:sz w:val="30"/>
          <w:szCs w:val="30"/>
        </w:rPr>
        <w:t>商品和服务支出25.03万元，较上年增加9.1万元，增长57.12%，主要原因是：教工的年节福利按政策提高导致工会经费大幅增加。</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lang w:eastAsia="zh-CN"/>
        </w:rPr>
        <w:t>（三）</w:t>
      </w:r>
      <w:r>
        <w:rPr>
          <w:rFonts w:hint="eastAsia" w:ascii="仿宋" w:hAnsi="仿宋" w:eastAsia="仿宋" w:cs="Times New Roman"/>
          <w:sz w:val="30"/>
          <w:szCs w:val="30"/>
        </w:rPr>
        <w:t>对个人和家庭补助支出7.4</w:t>
      </w:r>
      <w:r>
        <w:rPr>
          <w:rFonts w:hint="eastAsia" w:ascii="仿宋" w:hAnsi="仿宋" w:eastAsia="仿宋" w:cs="Times New Roman"/>
          <w:sz w:val="30"/>
          <w:szCs w:val="30"/>
          <w:lang w:val="en-US" w:eastAsia="zh-CN"/>
        </w:rPr>
        <w:t>0</w:t>
      </w:r>
      <w:r>
        <w:rPr>
          <w:rFonts w:hint="eastAsia" w:ascii="仿宋" w:hAnsi="仿宋" w:eastAsia="仿宋" w:cs="Times New Roman"/>
          <w:sz w:val="30"/>
          <w:szCs w:val="30"/>
        </w:rPr>
        <w:t>万元，较上年减少90.36万元，下降92.43 %，主要原因是：在职人员的奖励金及住房公积金，按要求今年全部从对个人和家庭补助支出移除放至工资福利支出中，导致</w:t>
      </w:r>
      <w:r>
        <w:rPr>
          <w:rFonts w:hint="eastAsia" w:ascii="仿宋" w:hAnsi="仿宋" w:eastAsia="仿宋" w:cs="Times New Roman"/>
          <w:sz w:val="30"/>
          <w:szCs w:val="30"/>
          <w:lang w:eastAsia="zh-CN"/>
        </w:rPr>
        <w:t>本科目</w:t>
      </w:r>
      <w:r>
        <w:rPr>
          <w:rFonts w:hint="eastAsia" w:ascii="仿宋" w:hAnsi="仿宋" w:eastAsia="仿宋" w:cs="Times New Roman"/>
          <w:sz w:val="30"/>
          <w:szCs w:val="30"/>
        </w:rPr>
        <w:t>支出大幅减少。</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lang w:eastAsia="zh-CN"/>
        </w:rPr>
        <w:t>（四）</w:t>
      </w:r>
      <w:r>
        <w:rPr>
          <w:rFonts w:hint="eastAsia" w:ascii="仿宋" w:hAnsi="仿宋" w:eastAsia="仿宋" w:cs="Times New Roman"/>
          <w:sz w:val="30"/>
          <w:szCs w:val="30"/>
        </w:rPr>
        <w:t>其他资本性支出0万元万元，</w:t>
      </w:r>
      <w:r>
        <w:rPr>
          <w:rFonts w:hint="eastAsia" w:ascii="仿宋" w:hAnsi="仿宋" w:eastAsia="仿宋" w:cs="Times New Roman"/>
          <w:sz w:val="30"/>
          <w:szCs w:val="30"/>
          <w:lang w:eastAsia="zh-CN"/>
        </w:rPr>
        <w:t>与去年一致，主要原因是：</w:t>
      </w:r>
      <w:r>
        <w:rPr>
          <w:rFonts w:hint="eastAsia" w:ascii="仿宋" w:hAnsi="仿宋" w:eastAsia="仿宋" w:cs="Times New Roman"/>
          <w:sz w:val="30"/>
          <w:szCs w:val="30"/>
        </w:rPr>
        <w:t>今年去年都没有在财政拨款中安排开支</w:t>
      </w:r>
      <w:r>
        <w:rPr>
          <w:rFonts w:hint="eastAsia" w:ascii="仿宋" w:hAnsi="仿宋" w:eastAsia="仿宋" w:cs="Times New Roman"/>
          <w:sz w:val="30"/>
          <w:szCs w:val="30"/>
          <w:lang w:eastAsia="zh-CN"/>
        </w:rPr>
        <w:t>，财政拨款资金主要用在保民生方面</w:t>
      </w:r>
      <w:r>
        <w:rPr>
          <w:rFonts w:hint="eastAsia" w:ascii="仿宋" w:hAnsi="仿宋" w:eastAsia="仿宋" w:cs="Times New Roman"/>
          <w:sz w:val="30"/>
          <w:szCs w:val="30"/>
        </w:rPr>
        <w:t>。</w:t>
      </w:r>
    </w:p>
    <w:p>
      <w:pPr>
        <w:widowControl w:val="0"/>
        <w:ind w:firstLine="630"/>
        <w:jc w:val="left"/>
        <w:rPr>
          <w:rFonts w:hint="eastAsia" w:ascii="仿宋" w:hAnsi="仿宋" w:eastAsia="仿宋" w:cs="Times New Roman"/>
          <w:sz w:val="30"/>
          <w:szCs w:val="30"/>
        </w:rPr>
      </w:pPr>
    </w:p>
    <w:p>
      <w:pPr>
        <w:spacing w:line="360" w:lineRule="auto"/>
        <w:ind w:left="630"/>
        <w:jc w:val="left"/>
        <w:rPr>
          <w:rFonts w:ascii="新宋体" w:hAnsi="新宋体" w:eastAsia="新宋体"/>
          <w:sz w:val="30"/>
          <w:szCs w:val="30"/>
        </w:rPr>
      </w:pPr>
      <w:r>
        <w:rPr>
          <w:rFonts w:hint="eastAsia" w:ascii="黑体" w:hAnsi="黑体" w:eastAsia="黑体" w:cs="黑体"/>
          <w:sz w:val="30"/>
          <w:szCs w:val="30"/>
        </w:rPr>
        <w:t>五</w:t>
      </w:r>
      <w:r>
        <w:rPr>
          <w:rFonts w:hint="eastAsia" w:ascii="黑体" w:hAnsi="黑体" w:eastAsia="黑体" w:cs="Times New Roman"/>
          <w:sz w:val="30"/>
          <w:szCs w:val="30"/>
        </w:rPr>
        <w:t>、一般公共预算财政拨款“三公”经费支出决算情况说明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本单位2018年度一般公共预算财政拨款“三公”经费支出年初预算数为1.5万元，决算数为1万元，完成预算的66.67%，较上年减少0.5万元，</w:t>
      </w:r>
      <w:r>
        <w:rPr>
          <w:rFonts w:hint="eastAsia" w:ascii="仿宋" w:hAnsi="仿宋" w:eastAsia="仿宋" w:cs="Times New Roman"/>
          <w:sz w:val="30"/>
          <w:szCs w:val="30"/>
          <w:lang w:eastAsia="zh-CN"/>
        </w:rPr>
        <w:t>下降</w:t>
      </w:r>
      <w:r>
        <w:rPr>
          <w:rFonts w:hint="eastAsia" w:ascii="仿宋" w:hAnsi="仿宋" w:eastAsia="仿宋" w:cs="Times New Roman"/>
          <w:sz w:val="30"/>
          <w:szCs w:val="30"/>
          <w:lang w:val="en-US" w:eastAsia="zh-CN"/>
        </w:rPr>
        <w:t>33.33%，</w:t>
      </w:r>
      <w:r>
        <w:rPr>
          <w:rFonts w:hint="eastAsia" w:ascii="仿宋" w:hAnsi="仿宋" w:eastAsia="仿宋" w:cs="Times New Roman"/>
          <w:sz w:val="30"/>
          <w:szCs w:val="30"/>
        </w:rPr>
        <w:t>主要原因：严格规范车辆管理，控制车辆使用，报废一辆使用期限早到期的微型面包车，其中：</w:t>
      </w:r>
    </w:p>
    <w:p>
      <w:pPr>
        <w:numPr>
          <w:ilvl w:val="0"/>
          <w:numId w:val="2"/>
        </w:numPr>
        <w:ind w:firstLine="630"/>
        <w:jc w:val="left"/>
        <w:rPr>
          <w:rFonts w:hint="eastAsia" w:ascii="仿宋" w:hAnsi="仿宋" w:eastAsia="仿宋" w:cs="Times New Roman"/>
          <w:sz w:val="30"/>
          <w:szCs w:val="30"/>
        </w:rPr>
      </w:pPr>
      <w:r>
        <w:rPr>
          <w:rFonts w:hint="eastAsia" w:ascii="仿宋" w:hAnsi="仿宋" w:eastAsia="仿宋" w:cs="Times New Roman"/>
          <w:sz w:val="30"/>
          <w:szCs w:val="30"/>
        </w:rPr>
        <w:t>因公出国（境）支出年初预算数为0万元，决算数为0万元；较上年无变化</w:t>
      </w:r>
      <w:r>
        <w:rPr>
          <w:rFonts w:hint="eastAsia" w:ascii="仿宋" w:hAnsi="仿宋" w:eastAsia="仿宋" w:cs="Times New Roman"/>
          <w:sz w:val="30"/>
          <w:szCs w:val="30"/>
          <w:lang w:eastAsia="zh-CN"/>
        </w:rPr>
        <w:t>，</w:t>
      </w:r>
      <w:r>
        <w:rPr>
          <w:rFonts w:hint="eastAsia" w:ascii="仿宋" w:hAnsi="仿宋" w:eastAsia="仿宋"/>
          <w:sz w:val="32"/>
          <w:szCs w:val="32"/>
        </w:rPr>
        <w:t>完成预算的0。主要原因是：单位</w:t>
      </w:r>
      <w:r>
        <w:rPr>
          <w:rFonts w:hint="eastAsia" w:ascii="仿宋" w:hAnsi="仿宋" w:eastAsia="仿宋"/>
          <w:sz w:val="32"/>
          <w:szCs w:val="32"/>
          <w:lang w:eastAsia="zh-CN"/>
        </w:rPr>
        <w:t>去年今年</w:t>
      </w:r>
      <w:r>
        <w:rPr>
          <w:rFonts w:hint="eastAsia" w:ascii="仿宋" w:hAnsi="仿宋" w:eastAsia="仿宋"/>
          <w:sz w:val="32"/>
          <w:szCs w:val="32"/>
        </w:rPr>
        <w:t>都没有安排出国出境。</w:t>
      </w:r>
    </w:p>
    <w:p>
      <w:pPr>
        <w:widowControl w:val="0"/>
        <w:ind w:firstLine="630"/>
        <w:jc w:val="left"/>
        <w:rPr>
          <w:rFonts w:hint="eastAsia" w:ascii="仿宋" w:hAnsi="仿宋" w:eastAsia="仿宋" w:cs="Times New Roman"/>
          <w:sz w:val="30"/>
          <w:szCs w:val="30"/>
          <w:lang w:eastAsia="zh-CN"/>
        </w:rPr>
      </w:pPr>
      <w:r>
        <w:rPr>
          <w:rFonts w:hint="eastAsia" w:ascii="仿宋" w:hAnsi="仿宋" w:eastAsia="仿宋" w:cs="Times New Roman"/>
          <w:sz w:val="30"/>
          <w:szCs w:val="30"/>
        </w:rPr>
        <w:t>（二）</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公务接待费支出年初预算数为0万元，决算数为0万元；较上年无变化</w:t>
      </w:r>
      <w:r>
        <w:rPr>
          <w:rFonts w:hint="eastAsia" w:ascii="仿宋" w:hAnsi="仿宋" w:eastAsia="仿宋" w:cs="Times New Roman"/>
          <w:sz w:val="30"/>
          <w:szCs w:val="30"/>
          <w:lang w:eastAsia="zh-CN"/>
        </w:rPr>
        <w:t>，</w:t>
      </w:r>
      <w:r>
        <w:rPr>
          <w:rFonts w:hint="eastAsia" w:ascii="仿宋" w:hAnsi="仿宋" w:eastAsia="仿宋"/>
          <w:sz w:val="32"/>
          <w:szCs w:val="32"/>
        </w:rPr>
        <w:t>完成预算的0。主要原因是：单位</w:t>
      </w:r>
      <w:r>
        <w:rPr>
          <w:rFonts w:hint="eastAsia" w:ascii="仿宋" w:hAnsi="仿宋" w:eastAsia="仿宋"/>
          <w:sz w:val="32"/>
          <w:szCs w:val="32"/>
          <w:lang w:eastAsia="zh-CN"/>
        </w:rPr>
        <w:t>去年今年</w:t>
      </w:r>
      <w:r>
        <w:rPr>
          <w:rFonts w:hint="eastAsia" w:ascii="仿宋" w:hAnsi="仿宋" w:eastAsia="仿宋" w:cs="Times New Roman"/>
          <w:sz w:val="32"/>
          <w:szCs w:val="32"/>
          <w:lang w:eastAsia="zh-CN"/>
        </w:rPr>
        <w:t>财政拨款资金中本年度没有安排预算。</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（三）</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公务用车购置及运行维护费</w:t>
      </w:r>
      <w:r>
        <w:rPr>
          <w:rFonts w:hint="eastAsia" w:ascii="仿宋" w:hAnsi="仿宋" w:eastAsia="仿宋"/>
          <w:sz w:val="32"/>
          <w:szCs w:val="32"/>
        </w:rPr>
        <w:t>年初预算数为</w:t>
      </w:r>
      <w:r>
        <w:rPr>
          <w:rFonts w:hint="eastAsia" w:ascii="仿宋" w:hAnsi="仿宋" w:eastAsia="仿宋" w:cs="Times New Roman"/>
          <w:sz w:val="30"/>
          <w:szCs w:val="30"/>
        </w:rPr>
        <w:t>1.5万元，其中公务用车购置年初预算数为0万元，决算数为0万元</w:t>
      </w:r>
      <w:r>
        <w:rPr>
          <w:rFonts w:hint="eastAsia" w:ascii="仿宋" w:hAnsi="仿宋" w:eastAsia="仿宋" w:cs="Times New Roman"/>
          <w:sz w:val="30"/>
          <w:szCs w:val="30"/>
          <w:lang w:eastAsia="zh-CN"/>
        </w:rPr>
        <w:t>，与去年一致</w:t>
      </w:r>
      <w:r>
        <w:rPr>
          <w:rFonts w:hint="eastAsia" w:ascii="仿宋" w:hAnsi="仿宋" w:eastAsia="仿宋" w:cs="Times New Roman"/>
          <w:sz w:val="30"/>
          <w:szCs w:val="30"/>
        </w:rPr>
        <w:t>；公务用车运行维护费支出年初预算数为1.5万元，决算数为1万元，完成预算的66.67%，较上年减少0.5万元，</w:t>
      </w:r>
      <w:r>
        <w:rPr>
          <w:rFonts w:hint="eastAsia" w:ascii="仿宋" w:hAnsi="仿宋" w:eastAsia="仿宋" w:cs="Times New Roman"/>
          <w:sz w:val="30"/>
          <w:szCs w:val="30"/>
          <w:lang w:eastAsia="zh-CN"/>
        </w:rPr>
        <w:t>下降</w:t>
      </w:r>
      <w:r>
        <w:rPr>
          <w:rFonts w:hint="eastAsia" w:ascii="仿宋" w:hAnsi="仿宋" w:eastAsia="仿宋" w:cs="Times New Roman"/>
          <w:sz w:val="30"/>
          <w:szCs w:val="30"/>
          <w:lang w:val="en-US" w:eastAsia="zh-CN"/>
        </w:rPr>
        <w:t>33.33%，</w:t>
      </w:r>
      <w:r>
        <w:rPr>
          <w:rFonts w:hint="eastAsia" w:ascii="仿宋" w:hAnsi="仿宋" w:eastAsia="仿宋" w:cs="Times New Roman"/>
          <w:sz w:val="30"/>
          <w:szCs w:val="30"/>
        </w:rPr>
        <w:t>主要原因：严格控制了车辆管理，报废一辆2004年购置的使用期限到期的微型面包车。</w:t>
      </w:r>
    </w:p>
    <w:p>
      <w:pPr>
        <w:widowControl w:val="0"/>
        <w:ind w:firstLine="630"/>
        <w:jc w:val="left"/>
        <w:rPr>
          <w:rFonts w:hint="eastAsia" w:ascii="仿宋" w:hAnsi="仿宋" w:eastAsia="仿宋" w:cs="Times New Roman"/>
          <w:sz w:val="30"/>
          <w:szCs w:val="30"/>
        </w:rPr>
      </w:pPr>
    </w:p>
    <w:p>
      <w:pPr>
        <w:spacing w:line="360" w:lineRule="auto"/>
        <w:ind w:left="630"/>
        <w:jc w:val="left"/>
        <w:rPr>
          <w:rFonts w:ascii="新宋体" w:hAnsi="新宋体" w:eastAsia="新宋体"/>
          <w:sz w:val="28"/>
          <w:szCs w:val="28"/>
        </w:rPr>
      </w:pPr>
      <w:r>
        <w:rPr>
          <w:rFonts w:hint="eastAsia" w:ascii="黑体" w:hAnsi="黑体" w:eastAsia="黑体" w:cs="黑体"/>
          <w:sz w:val="30"/>
          <w:szCs w:val="30"/>
        </w:rPr>
        <w:t>六、机关运行经费情况说明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本单位为教育单位，属成人高校。2018年度财政拨款的机关运行经费支出25.03万元，</w:t>
      </w:r>
      <w:r>
        <w:rPr>
          <w:rFonts w:hint="eastAsia" w:ascii="仿宋" w:hAnsi="仿宋" w:eastAsia="仿宋"/>
          <w:sz w:val="30"/>
          <w:szCs w:val="30"/>
        </w:rPr>
        <w:t>较年初预算数增加</w:t>
      </w:r>
      <w:r>
        <w:rPr>
          <w:rFonts w:hint="eastAsia" w:ascii="仿宋" w:hAnsi="仿宋" w:eastAsia="仿宋"/>
          <w:sz w:val="30"/>
          <w:szCs w:val="30"/>
          <w:lang w:val="en-US" w:eastAsia="zh-CN"/>
        </w:rPr>
        <w:t>8.68万元，增长53.09%，</w:t>
      </w:r>
      <w:r>
        <w:rPr>
          <w:rFonts w:hint="eastAsia" w:ascii="仿宋" w:hAnsi="仿宋" w:eastAsia="仿宋" w:cs="Times New Roman"/>
          <w:sz w:val="30"/>
          <w:szCs w:val="30"/>
        </w:rPr>
        <w:t>比</w:t>
      </w:r>
      <w:r>
        <w:rPr>
          <w:rFonts w:hint="eastAsia" w:ascii="仿宋" w:hAnsi="仿宋" w:eastAsia="仿宋" w:cs="Times New Roman"/>
          <w:sz w:val="30"/>
          <w:szCs w:val="30"/>
          <w:lang w:eastAsia="zh-CN"/>
        </w:rPr>
        <w:t>上年支出</w:t>
      </w:r>
      <w:r>
        <w:rPr>
          <w:rFonts w:hint="eastAsia" w:ascii="仿宋" w:hAnsi="仿宋" w:eastAsia="仿宋" w:cs="Times New Roman"/>
          <w:sz w:val="30"/>
          <w:szCs w:val="30"/>
        </w:rPr>
        <w:t>增</w:t>
      </w:r>
      <w:r>
        <w:rPr>
          <w:rFonts w:hint="eastAsia" w:ascii="仿宋" w:hAnsi="仿宋" w:eastAsia="仿宋" w:cs="Times New Roman"/>
          <w:sz w:val="30"/>
          <w:szCs w:val="30"/>
          <w:lang w:val="zh-CN"/>
        </w:rPr>
        <w:t>加</w:t>
      </w:r>
      <w:r>
        <w:rPr>
          <w:rFonts w:hint="eastAsia" w:ascii="仿宋" w:hAnsi="仿宋" w:eastAsia="仿宋" w:cs="Times New Roman"/>
          <w:sz w:val="30"/>
          <w:szCs w:val="30"/>
        </w:rPr>
        <w:t>9.1万元，增长57.12%，主要原因是：</w:t>
      </w:r>
      <w:r>
        <w:rPr>
          <w:rFonts w:hint="eastAsia" w:ascii="仿宋" w:hAnsi="仿宋" w:eastAsia="仿宋" w:cs="Times New Roman"/>
          <w:sz w:val="30"/>
          <w:szCs w:val="30"/>
          <w:lang w:eastAsia="zh-CN"/>
        </w:rPr>
        <w:t>职</w:t>
      </w:r>
      <w:r>
        <w:rPr>
          <w:rFonts w:hint="eastAsia" w:ascii="仿宋" w:hAnsi="仿宋" w:eastAsia="仿宋" w:cs="Times New Roman"/>
          <w:sz w:val="30"/>
          <w:szCs w:val="30"/>
        </w:rPr>
        <w:t>工的年节福利</w:t>
      </w:r>
      <w:r>
        <w:rPr>
          <w:rFonts w:hint="eastAsia" w:ascii="仿宋" w:hAnsi="仿宋" w:eastAsia="仿宋" w:cs="Times New Roman"/>
          <w:sz w:val="30"/>
          <w:szCs w:val="30"/>
          <w:lang w:eastAsia="zh-CN"/>
        </w:rPr>
        <w:t>标准</w:t>
      </w:r>
      <w:r>
        <w:rPr>
          <w:rFonts w:hint="eastAsia" w:ascii="仿宋" w:hAnsi="仿宋" w:eastAsia="仿宋" w:cs="Times New Roman"/>
          <w:sz w:val="30"/>
          <w:szCs w:val="30"/>
        </w:rPr>
        <w:t>按政策</w:t>
      </w:r>
      <w:r>
        <w:rPr>
          <w:rFonts w:hint="eastAsia" w:ascii="仿宋" w:hAnsi="仿宋" w:eastAsia="仿宋" w:cs="Times New Roman"/>
          <w:sz w:val="30"/>
          <w:szCs w:val="30"/>
          <w:lang w:eastAsia="zh-CN"/>
        </w:rPr>
        <w:t>今年大幅</w:t>
      </w:r>
      <w:r>
        <w:rPr>
          <w:rFonts w:hint="eastAsia" w:ascii="仿宋" w:hAnsi="仿宋" w:eastAsia="仿宋" w:cs="Times New Roman"/>
          <w:sz w:val="30"/>
          <w:szCs w:val="30"/>
        </w:rPr>
        <w:t>提高</w:t>
      </w:r>
      <w:r>
        <w:rPr>
          <w:rFonts w:hint="eastAsia" w:ascii="仿宋" w:hAnsi="仿宋" w:eastAsia="仿宋" w:cs="Times New Roman"/>
          <w:sz w:val="30"/>
          <w:szCs w:val="30"/>
          <w:lang w:eastAsia="zh-CN"/>
        </w:rPr>
        <w:t>，</w:t>
      </w:r>
      <w:r>
        <w:rPr>
          <w:rFonts w:hint="eastAsia" w:ascii="仿宋" w:hAnsi="仿宋" w:eastAsia="仿宋" w:cs="Times New Roman"/>
          <w:sz w:val="30"/>
          <w:szCs w:val="30"/>
        </w:rPr>
        <w:t>导致工会经费增</w:t>
      </w:r>
      <w:r>
        <w:rPr>
          <w:rFonts w:hint="eastAsia" w:ascii="仿宋" w:hAnsi="仿宋" w:eastAsia="仿宋" w:cs="Times New Roman"/>
          <w:sz w:val="30"/>
          <w:szCs w:val="30"/>
          <w:lang w:eastAsia="zh-CN"/>
        </w:rPr>
        <w:t>幅较大</w:t>
      </w:r>
      <w:r>
        <w:rPr>
          <w:rFonts w:hint="eastAsia" w:ascii="仿宋" w:hAnsi="仿宋" w:eastAsia="仿宋" w:cs="Times New Roman"/>
          <w:sz w:val="30"/>
          <w:szCs w:val="30"/>
        </w:rPr>
        <w:t>。</w:t>
      </w:r>
    </w:p>
    <w:p>
      <w:pPr>
        <w:spacing w:line="360" w:lineRule="auto"/>
        <w:ind w:left="560"/>
        <w:jc w:val="left"/>
        <w:rPr>
          <w:rFonts w:ascii="宋体"/>
          <w:sz w:val="30"/>
          <w:szCs w:val="30"/>
        </w:rPr>
      </w:pPr>
    </w:p>
    <w:p>
      <w:pPr>
        <w:spacing w:line="360" w:lineRule="auto"/>
        <w:ind w:left="560"/>
        <w:jc w:val="left"/>
        <w:rPr>
          <w:rFonts w:ascii="新宋体" w:hAnsi="新宋体" w:eastAsia="新宋体"/>
          <w:sz w:val="30"/>
          <w:szCs w:val="30"/>
        </w:rPr>
      </w:pPr>
      <w:r>
        <w:rPr>
          <w:rFonts w:hint="eastAsia" w:ascii="黑体" w:hAnsi="黑体" w:eastAsia="黑体" w:cs="黑体"/>
          <w:sz w:val="30"/>
          <w:szCs w:val="30"/>
        </w:rPr>
        <w:t>七、政府采购支出情况说明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本单位2018年度政府采购支出总额13.3万元，其中：政府采购货物支出3.21万元、政府采购工程支出10.09万元、政府采购服务支出0万元。授予中小企业合同金额 0 万元。</w:t>
      </w:r>
    </w:p>
    <w:p>
      <w:pPr>
        <w:spacing w:line="360" w:lineRule="auto"/>
        <w:ind w:firstLine="600"/>
        <w:jc w:val="left"/>
        <w:rPr>
          <w:rFonts w:ascii="新宋体" w:hAnsi="新宋体" w:eastAsia="新宋体"/>
          <w:kern w:val="0"/>
          <w:sz w:val="28"/>
          <w:szCs w:val="28"/>
        </w:rPr>
      </w:pPr>
    </w:p>
    <w:p>
      <w:pPr>
        <w:tabs>
          <w:tab w:val="left" w:pos="908"/>
        </w:tabs>
        <w:snapToGrid w:val="0"/>
        <w:spacing w:line="360" w:lineRule="auto"/>
        <w:ind w:left="420" w:leftChars="200"/>
        <w:jc w:val="left"/>
        <w:rPr>
          <w:rFonts w:ascii="宋体"/>
          <w:kern w:val="0"/>
          <w:sz w:val="30"/>
          <w:szCs w:val="30"/>
        </w:rPr>
      </w:pPr>
      <w:r>
        <w:rPr>
          <w:rFonts w:hint="eastAsia" w:ascii="黑体" w:hAnsi="黑体" w:eastAsia="黑体" w:cs="黑体"/>
          <w:kern w:val="0"/>
          <w:sz w:val="30"/>
          <w:szCs w:val="30"/>
        </w:rPr>
        <w:t>八、政府性基金预算财政拨款收入支出决算说明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2018年度财政没有安排给付我单位政府性基金款，也没有该方面的支出发生，故没有相关数据。</w:t>
      </w:r>
    </w:p>
    <w:p>
      <w:pPr>
        <w:snapToGrid w:val="0"/>
        <w:spacing w:line="360" w:lineRule="auto"/>
        <w:ind w:firstLine="600" w:firstLineChars="200"/>
        <w:jc w:val="left"/>
        <w:rPr>
          <w:rFonts w:ascii="宋体"/>
          <w:kern w:val="0"/>
          <w:sz w:val="30"/>
          <w:szCs w:val="30"/>
        </w:rPr>
      </w:pPr>
    </w:p>
    <w:p>
      <w:pPr>
        <w:spacing w:line="360" w:lineRule="auto"/>
        <w:ind w:left="420" w:leftChars="200"/>
        <w:jc w:val="left"/>
        <w:rPr>
          <w:rFonts w:ascii="黑体" w:hAnsi="黑体" w:eastAsia="黑体"/>
          <w:sz w:val="30"/>
          <w:szCs w:val="30"/>
        </w:rPr>
      </w:pPr>
      <w:r>
        <w:rPr>
          <w:rFonts w:hint="eastAsia" w:ascii="黑体" w:hAnsi="黑体" w:eastAsia="黑体" w:cs="黑体"/>
          <w:sz w:val="30"/>
          <w:szCs w:val="30"/>
        </w:rPr>
        <w:t>九、国有资产占用情况说明</w:t>
      </w:r>
    </w:p>
    <w:p>
      <w:pPr>
        <w:keepNext w:val="0"/>
        <w:keepLines w:val="0"/>
        <w:pageBreakBefore w:val="0"/>
        <w:widowControl w:val="0"/>
        <w:kinsoku/>
        <w:wordWrap/>
        <w:overflowPunct/>
        <w:topLinePunct w:val="0"/>
        <w:autoSpaceDE/>
        <w:autoSpaceDN/>
        <w:bidi w:val="0"/>
        <w:adjustRightInd/>
        <w:snapToGrid/>
        <w:ind w:firstLine="629"/>
        <w:jc w:val="left"/>
        <w:textAlignment w:val="auto"/>
        <w:rPr>
          <w:rFonts w:hint="eastAsia" w:ascii="仿宋" w:hAnsi="仿宋" w:eastAsia="仿宋" w:cs="Times New Roman"/>
          <w:sz w:val="30"/>
          <w:szCs w:val="30"/>
        </w:rPr>
      </w:pPr>
      <w:r>
        <w:rPr>
          <w:rFonts w:hint="eastAsia" w:ascii="仿宋" w:hAnsi="仿宋" w:eastAsia="仿宋" w:cs="Times New Roman"/>
          <w:sz w:val="30"/>
          <w:szCs w:val="30"/>
        </w:rPr>
        <w:t>截至2018年11月30日，本单位共有车辆3辆，均为一般公务用车，另2004年购置的小型面包车已报废，12月初按市车改办要求3辆公务用车已移交市机关事务管理局。价值50万元以上通用设备无，单价100万元以上专用设备无。</w:t>
      </w:r>
    </w:p>
    <w:p>
      <w:pPr>
        <w:spacing w:line="360" w:lineRule="auto"/>
        <w:ind w:firstLine="643" w:firstLineChars="200"/>
        <w:jc w:val="left"/>
        <w:rPr>
          <w:rFonts w:ascii="黑体" w:hAnsi="黑体" w:eastAsia="黑体"/>
          <w:b/>
          <w:bCs/>
          <w:kern w:val="0"/>
          <w:sz w:val="32"/>
          <w:szCs w:val="32"/>
        </w:rPr>
      </w:pPr>
    </w:p>
    <w:p>
      <w:pPr>
        <w:numPr>
          <w:ilvl w:val="0"/>
          <w:numId w:val="3"/>
        </w:numPr>
        <w:spacing w:line="360" w:lineRule="auto"/>
        <w:ind w:firstLine="600" w:firstLineChars="200"/>
        <w:jc w:val="left"/>
        <w:rPr>
          <w:rFonts w:ascii="黑体" w:hAnsi="黑体" w:eastAsia="黑体"/>
          <w:sz w:val="30"/>
          <w:szCs w:val="30"/>
        </w:rPr>
      </w:pPr>
      <w:r>
        <w:rPr>
          <w:rFonts w:hint="eastAsia" w:ascii="黑体" w:hAnsi="黑体" w:eastAsia="黑体" w:cs="黑体"/>
          <w:sz w:val="30"/>
          <w:szCs w:val="30"/>
        </w:rPr>
        <w:t>预算绩效情况说明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根据预算绩效管理要求，我单位2018年度没有符合要求的一般公共预算项目支出的</w:t>
      </w:r>
      <w:r>
        <w:rPr>
          <w:rFonts w:hint="eastAsia" w:ascii="仿宋" w:hAnsi="仿宋" w:eastAsia="仿宋" w:cs="Times New Roman"/>
          <w:sz w:val="30"/>
          <w:szCs w:val="30"/>
          <w:lang w:eastAsia="zh-CN"/>
        </w:rPr>
        <w:t>重点绩效评价</w:t>
      </w:r>
      <w:r>
        <w:rPr>
          <w:rFonts w:hint="eastAsia" w:ascii="仿宋" w:hAnsi="仿宋" w:eastAsia="仿宋" w:cs="Times New Roman"/>
          <w:sz w:val="30"/>
          <w:szCs w:val="30"/>
        </w:rPr>
        <w:t>项目即没有50万元以上财政拨付资金并立项的项目，故</w:t>
      </w:r>
      <w:r>
        <w:rPr>
          <w:rFonts w:hint="eastAsia" w:ascii="仿宋" w:hAnsi="仿宋" w:eastAsia="仿宋" w:cs="Times New Roman"/>
          <w:sz w:val="30"/>
          <w:szCs w:val="30"/>
          <w:lang w:eastAsia="zh-CN"/>
        </w:rPr>
        <w:t>无</w:t>
      </w:r>
      <w:r>
        <w:rPr>
          <w:rFonts w:hint="eastAsia" w:ascii="仿宋" w:hAnsi="仿宋" w:eastAsia="仿宋" w:cs="Times New Roman"/>
          <w:sz w:val="30"/>
          <w:szCs w:val="30"/>
        </w:rPr>
        <w:t>绩效自评相关数据。</w:t>
      </w:r>
    </w:p>
    <w:p>
      <w:pPr>
        <w:spacing w:line="360" w:lineRule="auto"/>
        <w:jc w:val="left"/>
        <w:rPr>
          <w:rFonts w:ascii="新宋体" w:hAnsi="新宋体" w:eastAsia="新宋体"/>
          <w:b/>
          <w:bCs/>
          <w:sz w:val="28"/>
          <w:szCs w:val="28"/>
        </w:rPr>
      </w:pPr>
    </w:p>
    <w:p>
      <w:pPr>
        <w:spacing w:line="360" w:lineRule="auto"/>
        <w:jc w:val="left"/>
        <w:rPr>
          <w:rFonts w:ascii="新宋体" w:hAnsi="新宋体" w:eastAsia="新宋体"/>
          <w:b/>
          <w:bCs/>
          <w:sz w:val="28"/>
          <w:szCs w:val="28"/>
        </w:rPr>
      </w:pPr>
    </w:p>
    <w:p>
      <w:pPr>
        <w:spacing w:line="360" w:lineRule="auto"/>
        <w:jc w:val="center"/>
        <w:rPr>
          <w:rFonts w:ascii="宋体"/>
          <w:b/>
          <w:bCs/>
          <w:sz w:val="32"/>
          <w:szCs w:val="32"/>
        </w:rPr>
      </w:pPr>
      <w:r>
        <w:rPr>
          <w:rFonts w:hint="eastAsia" w:ascii="宋体" w:hAnsi="宋体" w:cs="宋体"/>
          <w:b/>
          <w:bCs/>
          <w:sz w:val="32"/>
          <w:szCs w:val="32"/>
        </w:rPr>
        <w:t>第四部分名词解释</w:t>
      </w:r>
    </w:p>
    <w:p>
      <w:pPr>
        <w:spacing w:line="360" w:lineRule="auto"/>
        <w:ind w:firstLine="600"/>
        <w:rPr>
          <w:rFonts w:ascii="新宋体" w:hAnsi="新宋体" w:eastAsia="新宋体"/>
          <w:kern w:val="0"/>
          <w:sz w:val="28"/>
          <w:szCs w:val="28"/>
        </w:rPr>
      </w:pP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1.财政拨款收入：从同级财政部门取得的财政预算资金，包括公共预算财政拨款和政府性基金预算财政拨款。</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2. 事业单位专户资金收入：从同级财政部门取得的财政专户管理资金。</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3.事业收入：事业单位开展专业业务活动及辅助活动所取得的收入，不含财政专户管理资金收入。</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4.用事业基金弥补收支差额：事业单位在当年收入不足以安排当年支出情况下，使用以前年度积累的事业基金弥补本年收支缺口的资金。</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5.上年结转：预算单位以前年度的收入预算未执行完毕，需结转本年度继续使用的结转资金，以及以前年度收支相抵后的盈余或亏损结余资金。</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6.结余分配：事业单位按照国家规定应交</w:t>
      </w:r>
      <w:bookmarkStart w:id="0" w:name="_GoBack"/>
      <w:bookmarkEnd w:id="0"/>
      <w:r>
        <w:rPr>
          <w:rFonts w:hint="eastAsia" w:ascii="仿宋" w:hAnsi="仿宋" w:eastAsia="仿宋" w:cs="Times New Roman"/>
          <w:sz w:val="30"/>
          <w:szCs w:val="30"/>
        </w:rPr>
        <w:t>所得税和提取事业基金、专用基金的分配情况和结果。</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7.结转下年：预算单位本年底前的收入预算未执行完毕，需结转下年度按照原用途继续使用的结转资金，以及本年底前收支相抵后盈余或亏损的结余资金。</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8.基本支出：是预算单位为保障其正常运转，完成日常工作任务所发生的支出，包括人员支出和日常公用支出。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9.项目支出：是预算单位为完成其特定的行政工作任务或事业发展目标</w:t>
      </w:r>
      <w:r>
        <w:rPr>
          <w:rFonts w:hint="eastAsia" w:ascii="仿宋" w:hAnsi="仿宋" w:eastAsia="仿宋" w:cs="Times New Roman"/>
          <w:sz w:val="30"/>
          <w:szCs w:val="30"/>
          <w:lang w:eastAsia="zh-CN"/>
        </w:rPr>
        <w:t>，在基本的预算支出以外，财政预算专款安排</w:t>
      </w:r>
      <w:r>
        <w:rPr>
          <w:rFonts w:hint="eastAsia" w:ascii="仿宋" w:hAnsi="仿宋" w:eastAsia="仿宋" w:cs="Times New Roman"/>
          <w:sz w:val="30"/>
          <w:szCs w:val="30"/>
        </w:rPr>
        <w:t>的支出。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10.因公出国（境）费用：反映单位公务出国（境）的国际旅费、国外城县间交通费、住宿费、伙食费、培训费、公杂费等支出。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11.公务接待费：反映单位按规定开支的各类公务接待（含外宾接待）费用。</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12.公务用车购置：反映公务用车车辆购置支出（含车辆购置税）。</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13.公务用车运行维护费：反映公务用车租用费、燃料费、维修费、过桥过路费、保险费、安全奖励费用等支出。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14.机关运行经费：为保障行政单位和参照公务员法管理的事业单位运行使用一般公共预算财政拨款资金购买货物和服务的各项经费，即使用一般公共预算财政拨款资金安排的基本支出中的日常公用经费。</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15.流动资产：是指一年以内变现或耗用的资产，包括库存现金、银行存款、零余额用款额度、财政应返还额度、应收及预付款项、存货等。</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16.固定资产：是指使用期限超过1年（不含1年），单位价值在规定标准以上，并且在使用过程中基本保持原有物质形态的资产。</w:t>
      </w:r>
    </w:p>
    <w:p>
      <w:pPr>
        <w:widowControl w:val="0"/>
        <w:ind w:firstLine="630"/>
        <w:jc w:val="left"/>
        <w:rPr>
          <w:rFonts w:hint="eastAsia" w:ascii="仿宋" w:hAnsi="仿宋" w:eastAsia="仿宋" w:cs="Times New Roman"/>
          <w:sz w:val="30"/>
          <w:szCs w:val="30"/>
        </w:rPr>
      </w:pPr>
    </w:p>
    <w:p>
      <w:pPr>
        <w:ind w:firstLine="630"/>
        <w:jc w:val="left"/>
        <w:rPr>
          <w:rFonts w:ascii="仿宋" w:hAnsi="仿宋" w:eastAsia="仿宋"/>
          <w:sz w:val="24"/>
          <w:szCs w:val="24"/>
        </w:rPr>
      </w:pPr>
    </w:p>
    <w:p>
      <w:pPr>
        <w:ind w:firstLine="630"/>
        <w:jc w:val="left"/>
        <w:rPr>
          <w:rFonts w:eastAsia="Times New Roman"/>
          <w:sz w:val="24"/>
          <w:szCs w:val="24"/>
        </w:rPr>
      </w:pPr>
    </w:p>
    <w:p>
      <w:pPr>
        <w:jc w:val="left"/>
        <w:rPr>
          <w:rFonts w:ascii="宋体"/>
          <w:kern w:val="0"/>
          <w:sz w:val="24"/>
          <w:szCs w:val="24"/>
          <w:lang w:val="zh-CN"/>
        </w:rPr>
      </w:pPr>
    </w:p>
    <w:p>
      <w:pPr>
        <w:spacing w:line="360" w:lineRule="auto"/>
        <w:jc w:val="left"/>
        <w:rPr>
          <w:rFonts w:ascii="仿宋" w:hAnsi="仿宋" w:eastAsia="仿宋"/>
          <w:b/>
          <w:bCs/>
          <w:kern w:val="0"/>
          <w:sz w:val="24"/>
          <w:szCs w:val="24"/>
        </w:rPr>
      </w:pPr>
    </w:p>
    <w:p>
      <w:pPr>
        <w:spacing w:line="360" w:lineRule="auto"/>
        <w:jc w:val="both"/>
        <w:rPr>
          <w:rFonts w:ascii="宋体"/>
          <w:kern w:val="0"/>
          <w:sz w:val="28"/>
          <w:szCs w:val="28"/>
        </w:rPr>
      </w:pPr>
    </w:p>
    <w:sectPr>
      <w:headerReference r:id="rId3" w:type="default"/>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080E0000" w:usb2="00000000" w:usb3="00000000" w:csb0="00040001" w:csb1="00000000"/>
  </w:font>
  <w:font w:name="微软雅黑">
    <w:panose1 w:val="020B0503020204020204"/>
    <w:charset w:val="86"/>
    <w:family w:val="auto"/>
    <w:pitch w:val="default"/>
    <w:sig w:usb0="80000287" w:usb1="2A0F3C52" w:usb2="00000016" w:usb3="00000000" w:csb0="0004001F" w:csb1="0000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9575B"/>
    <w:multiLevelType w:val="singleLevel"/>
    <w:tmpl w:val="9049575B"/>
    <w:lvl w:ilvl="0" w:tentative="0">
      <w:start w:val="10"/>
      <w:numFmt w:val="chineseCounting"/>
      <w:suff w:val="nothing"/>
      <w:lvlText w:val="%1、"/>
      <w:lvlJc w:val="left"/>
      <w:rPr>
        <w:rFonts w:hint="eastAsia"/>
      </w:rPr>
    </w:lvl>
  </w:abstractNum>
  <w:abstractNum w:abstractNumId="1">
    <w:nsid w:val="556CD5B0"/>
    <w:multiLevelType w:val="singleLevel"/>
    <w:tmpl w:val="556CD5B0"/>
    <w:lvl w:ilvl="0" w:tentative="0">
      <w:start w:val="1"/>
      <w:numFmt w:val="chineseCounting"/>
      <w:suff w:val="space"/>
      <w:lvlText w:val="（%1）"/>
      <w:lvlJc w:val="left"/>
      <w:rPr>
        <w:rFonts w:hint="eastAsia"/>
      </w:rPr>
    </w:lvl>
  </w:abstractNum>
  <w:abstractNum w:abstractNumId="2">
    <w:nsid w:val="5A617917"/>
    <w:multiLevelType w:val="singleLevel"/>
    <w:tmpl w:val="5A6179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720"/>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E27D7"/>
    <w:rsid w:val="006111A1"/>
    <w:rsid w:val="007855F7"/>
    <w:rsid w:val="007B4B69"/>
    <w:rsid w:val="008453CE"/>
    <w:rsid w:val="008514AC"/>
    <w:rsid w:val="008947B7"/>
    <w:rsid w:val="00A20443"/>
    <w:rsid w:val="00B41E35"/>
    <w:rsid w:val="00C63362"/>
    <w:rsid w:val="012058F4"/>
    <w:rsid w:val="025772C3"/>
    <w:rsid w:val="075C4127"/>
    <w:rsid w:val="1D3135BB"/>
    <w:rsid w:val="222B6432"/>
    <w:rsid w:val="225F0310"/>
    <w:rsid w:val="2322306C"/>
    <w:rsid w:val="27AE0E90"/>
    <w:rsid w:val="28A1559D"/>
    <w:rsid w:val="3367171D"/>
    <w:rsid w:val="36421858"/>
    <w:rsid w:val="38A818B7"/>
    <w:rsid w:val="46032D84"/>
    <w:rsid w:val="54475F12"/>
    <w:rsid w:val="578149B1"/>
    <w:rsid w:val="58BF381F"/>
    <w:rsid w:val="5CD63B54"/>
    <w:rsid w:val="5FA44B60"/>
    <w:rsid w:val="609506DB"/>
    <w:rsid w:val="63F31C93"/>
    <w:rsid w:val="6DFA15BB"/>
    <w:rsid w:val="6E270AA5"/>
    <w:rsid w:val="723C586F"/>
    <w:rsid w:val="77CF6E24"/>
    <w:rsid w:val="79C02DC0"/>
    <w:rsid w:val="7CBB66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微软公司</Company>
  <Pages>1</Pages>
  <Words>589</Words>
  <Characters>3362</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2018-01-19T02:18:00Z</dcterms:created>
  <dc:creator>Administrator</dc:creator>
  <cp:lastModifiedBy>18507907869</cp:lastModifiedBy>
  <dcterms:modified xsi:type="dcterms:W3CDTF">2021-05-20T11:44:21Z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