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cs="华文中宋"/>
          <w:b w:val="0"/>
          <w:bCs w:val="0"/>
          <w:sz w:val="44"/>
          <w:szCs w:val="44"/>
          <w:lang w:eastAsia="zh-CN"/>
        </w:rPr>
      </w:pPr>
      <w:r>
        <w:rPr>
          <w:rFonts w:hint="eastAsia" w:ascii="华文中宋" w:hAnsi="华文中宋" w:eastAsia="华文中宋" w:cs="华文中宋"/>
          <w:b w:val="0"/>
          <w:bCs w:val="0"/>
          <w:sz w:val="44"/>
          <w:szCs w:val="44"/>
          <w:lang w:eastAsia="zh-CN"/>
        </w:rPr>
        <w:t>开放教育《财务案例分析</w:t>
      </w:r>
      <w:bookmarkStart w:id="0" w:name="_GoBack"/>
      <w:bookmarkEnd w:id="0"/>
      <w:r>
        <w:rPr>
          <w:rFonts w:hint="eastAsia" w:ascii="华文中宋" w:hAnsi="华文中宋" w:eastAsia="华文中宋" w:cs="华文中宋"/>
          <w:b w:val="0"/>
          <w:bCs w:val="0"/>
          <w:sz w:val="44"/>
          <w:szCs w:val="44"/>
          <w:lang w:eastAsia="zh-CN"/>
        </w:rPr>
        <w:t>》课程期末复习</w:t>
      </w:r>
    </w:p>
    <w:p>
      <w:pPr>
        <w:numPr>
          <w:ilvl w:val="0"/>
          <w:numId w:val="1"/>
        </w:numPr>
        <w:jc w:val="left"/>
        <w:rPr>
          <w:rFonts w:hint="eastAsia" w:asciiTheme="minorEastAsia" w:hAnsiTheme="minorEastAsia" w:cstheme="minorEastAsia"/>
          <w:b w:val="0"/>
          <w:bCs w:val="0"/>
          <w:sz w:val="32"/>
          <w:szCs w:val="32"/>
          <w:lang w:eastAsia="zh-CN"/>
        </w:rPr>
      </w:pPr>
      <w:r>
        <w:rPr>
          <w:rFonts w:hint="eastAsia" w:asciiTheme="minorEastAsia" w:hAnsiTheme="minorEastAsia" w:cstheme="minorEastAsia"/>
          <w:b w:val="0"/>
          <w:bCs w:val="0"/>
          <w:sz w:val="32"/>
          <w:szCs w:val="32"/>
          <w:lang w:eastAsia="zh-CN"/>
        </w:rPr>
        <w:t>单项选择题</w:t>
      </w:r>
    </w:p>
    <w:p>
      <w:pPr>
        <w:numPr>
          <w:ilvl w:val="0"/>
          <w:numId w:val="2"/>
        </w:numPr>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在选择计算剩余收益指标时所使用的规定或预期的最低报酬率时，通常考虑的指标是公司的（   ）</w:t>
      </w:r>
    </w:p>
    <w:p>
      <w:pPr>
        <w:numPr>
          <w:ilvl w:val="0"/>
          <w:numId w:val="3"/>
        </w:numPr>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最高利润率</w:t>
      </w:r>
      <w:r>
        <w:rPr>
          <w:rFonts w:hint="eastAsia" w:asciiTheme="minorEastAsia" w:hAnsiTheme="minorEastAsia" w:cstheme="minorEastAsia"/>
          <w:b w:val="0"/>
          <w:bCs w:val="0"/>
          <w:sz w:val="32"/>
          <w:szCs w:val="32"/>
          <w:lang w:val="en-US" w:eastAsia="zh-CN"/>
        </w:rPr>
        <w:t>B.</w:t>
      </w:r>
      <w:r>
        <w:rPr>
          <w:rFonts w:hint="default" w:asciiTheme="minorEastAsia" w:hAnsiTheme="minorEastAsia" w:cstheme="minorEastAsia"/>
          <w:b w:val="0"/>
          <w:bCs w:val="0"/>
          <w:sz w:val="32"/>
          <w:szCs w:val="32"/>
          <w:lang w:val="en-US" w:eastAsia="zh-CN"/>
        </w:rPr>
        <w:t>最低利润率</w:t>
      </w:r>
      <w:r>
        <w:rPr>
          <w:rFonts w:hint="eastAsia" w:asciiTheme="minorEastAsia" w:hAnsiTheme="minorEastAsia" w:cstheme="minorEastAsia"/>
          <w:b w:val="0"/>
          <w:bCs w:val="0"/>
          <w:sz w:val="32"/>
          <w:szCs w:val="32"/>
          <w:lang w:val="en-US" w:eastAsia="zh-CN"/>
        </w:rPr>
        <w:t>C.</w:t>
      </w:r>
      <w:r>
        <w:rPr>
          <w:rFonts w:hint="default" w:asciiTheme="minorEastAsia" w:hAnsiTheme="minorEastAsia" w:cstheme="minorEastAsia"/>
          <w:b w:val="0"/>
          <w:bCs w:val="0"/>
          <w:sz w:val="32"/>
          <w:szCs w:val="32"/>
          <w:lang w:val="en-US" w:eastAsia="zh-CN"/>
        </w:rPr>
        <w:t>销售利润率</w:t>
      </w:r>
      <w:r>
        <w:rPr>
          <w:rFonts w:hint="eastAsia" w:asciiTheme="minorEastAsia" w:hAnsiTheme="minorEastAsia" w:cstheme="minorEastAsia"/>
          <w:b w:val="0"/>
          <w:bCs w:val="0"/>
          <w:sz w:val="32"/>
          <w:szCs w:val="32"/>
          <w:lang w:val="en-US" w:eastAsia="zh-CN"/>
        </w:rPr>
        <w:t>D.</w:t>
      </w:r>
      <w:r>
        <w:rPr>
          <w:rFonts w:hint="default" w:asciiTheme="minorEastAsia" w:hAnsiTheme="minorEastAsia" w:cstheme="minorEastAsia"/>
          <w:b w:val="0"/>
          <w:bCs w:val="0"/>
          <w:sz w:val="32"/>
          <w:szCs w:val="32"/>
          <w:lang w:val="en-US" w:eastAsia="zh-CN"/>
        </w:rPr>
        <w:t>平均利润率</w:t>
      </w:r>
    </w:p>
    <w:p>
      <w:pPr>
        <w:numPr>
          <w:ilvl w:val="0"/>
          <w:numId w:val="0"/>
        </w:numPr>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答案：D</w:t>
      </w:r>
    </w:p>
    <w:p>
      <w:pPr>
        <w:numPr>
          <w:ilvl w:val="0"/>
          <w:numId w:val="2"/>
        </w:numPr>
        <w:ind w:left="0" w:leftChars="0" w:firstLine="0" w:firstLine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既非竞争对手又非现实中或潜在的客户或供应商的企业之间的并购称为（    ）</w:t>
      </w:r>
    </w:p>
    <w:p>
      <w:pPr>
        <w:numPr>
          <w:ilvl w:val="0"/>
          <w:numId w:val="4"/>
        </w:numPr>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横向并购</w:t>
      </w:r>
      <w:r>
        <w:rPr>
          <w:rFonts w:hint="eastAsia" w:asciiTheme="minorEastAsia" w:hAnsiTheme="minorEastAsia" w:cstheme="minorEastAsia"/>
          <w:b w:val="0"/>
          <w:bCs w:val="0"/>
          <w:sz w:val="32"/>
          <w:szCs w:val="32"/>
          <w:lang w:val="en-US" w:eastAsia="zh-CN"/>
        </w:rPr>
        <w:t>B.</w:t>
      </w:r>
      <w:r>
        <w:rPr>
          <w:rFonts w:hint="default" w:asciiTheme="minorEastAsia" w:hAnsiTheme="minorEastAsia" w:cstheme="minorEastAsia"/>
          <w:b w:val="0"/>
          <w:bCs w:val="0"/>
          <w:sz w:val="32"/>
          <w:szCs w:val="32"/>
          <w:lang w:val="en-US" w:eastAsia="zh-CN"/>
        </w:rPr>
        <w:t>纵向并购</w:t>
      </w:r>
      <w:r>
        <w:rPr>
          <w:rFonts w:hint="eastAsia" w:asciiTheme="minorEastAsia" w:hAnsiTheme="minorEastAsia" w:cstheme="minorEastAsia"/>
          <w:b w:val="0"/>
          <w:bCs w:val="0"/>
          <w:sz w:val="32"/>
          <w:szCs w:val="32"/>
          <w:lang w:val="en-US" w:eastAsia="zh-CN"/>
        </w:rPr>
        <w:t>C.</w:t>
      </w:r>
      <w:r>
        <w:rPr>
          <w:rFonts w:hint="default" w:asciiTheme="minorEastAsia" w:hAnsiTheme="minorEastAsia" w:cstheme="minorEastAsia"/>
          <w:b w:val="0"/>
          <w:bCs w:val="0"/>
          <w:sz w:val="32"/>
          <w:szCs w:val="32"/>
          <w:lang w:val="en-US" w:eastAsia="zh-CN"/>
        </w:rPr>
        <w:t>混合并购</w:t>
      </w:r>
      <w:r>
        <w:rPr>
          <w:rFonts w:hint="eastAsia" w:asciiTheme="minorEastAsia" w:hAnsiTheme="minorEastAsia" w:cstheme="minorEastAsia"/>
          <w:b w:val="0"/>
          <w:bCs w:val="0"/>
          <w:sz w:val="32"/>
          <w:szCs w:val="32"/>
          <w:lang w:val="en-US" w:eastAsia="zh-CN"/>
        </w:rPr>
        <w:t>D.</w:t>
      </w:r>
      <w:r>
        <w:rPr>
          <w:rFonts w:hint="default" w:asciiTheme="minorEastAsia" w:hAnsiTheme="minorEastAsia" w:cstheme="minorEastAsia"/>
          <w:b w:val="0"/>
          <w:bCs w:val="0"/>
          <w:sz w:val="32"/>
          <w:szCs w:val="32"/>
          <w:lang w:val="en-US" w:eastAsia="zh-CN"/>
        </w:rPr>
        <w:t>善意并购</w:t>
      </w:r>
    </w:p>
    <w:p>
      <w:pPr>
        <w:numPr>
          <w:ilvl w:val="0"/>
          <w:numId w:val="0"/>
        </w:numPr>
        <w:jc w:val="left"/>
        <w:rPr>
          <w:rFonts w:hint="default"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答案：C</w:t>
      </w:r>
    </w:p>
    <w:p>
      <w:pPr>
        <w:numPr>
          <w:ilvl w:val="0"/>
          <w:numId w:val="2"/>
        </w:numPr>
        <w:ind w:left="0" w:leftChars="0" w:firstLine="0" w:firstLine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编制生产预算以（    ）为基础。</w:t>
      </w:r>
    </w:p>
    <w:p>
      <w:pPr>
        <w:numPr>
          <w:ilvl w:val="0"/>
          <w:numId w:val="5"/>
        </w:numPr>
        <w:ind w:left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采购预算  B.销售预算  C.财务预算  D.管理费预</w:t>
      </w:r>
    </w:p>
    <w:p>
      <w:pPr>
        <w:numPr>
          <w:ilvl w:val="0"/>
          <w:numId w:val="0"/>
        </w:numPr>
        <w:jc w:val="left"/>
        <w:rPr>
          <w:rFonts w:hint="default"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答案：B</w:t>
      </w:r>
    </w:p>
    <w:p>
      <w:pPr>
        <w:numPr>
          <w:ilvl w:val="0"/>
          <w:numId w:val="2"/>
        </w:numPr>
        <w:ind w:left="0" w:leftChars="0" w:firstLine="0" w:firstLine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内部控制的基本概念是从早期（   ）思想的基础上逐步发展起来的。</w:t>
      </w:r>
    </w:p>
    <w:p>
      <w:pPr>
        <w:numPr>
          <w:ilvl w:val="0"/>
          <w:numId w:val="6"/>
        </w:numPr>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科学管理</w:t>
      </w:r>
      <w:r>
        <w:rPr>
          <w:rFonts w:hint="eastAsia" w:asciiTheme="minorEastAsia" w:hAnsiTheme="minorEastAsia" w:cstheme="minorEastAsia"/>
          <w:b w:val="0"/>
          <w:bCs w:val="0"/>
          <w:sz w:val="32"/>
          <w:szCs w:val="32"/>
          <w:lang w:val="en-US" w:eastAsia="zh-CN"/>
        </w:rPr>
        <w:t xml:space="preserve">   B.</w:t>
      </w:r>
      <w:r>
        <w:rPr>
          <w:rFonts w:hint="default" w:asciiTheme="minorEastAsia" w:hAnsiTheme="minorEastAsia" w:cstheme="minorEastAsia"/>
          <w:b w:val="0"/>
          <w:bCs w:val="0"/>
          <w:sz w:val="32"/>
          <w:szCs w:val="32"/>
          <w:lang w:val="en-US" w:eastAsia="zh-CN"/>
        </w:rPr>
        <w:t>内部牵制</w:t>
      </w:r>
      <w:r>
        <w:rPr>
          <w:rFonts w:hint="eastAsia" w:asciiTheme="minorEastAsia" w:hAnsiTheme="minorEastAsia" w:cstheme="minorEastAsia"/>
          <w:b w:val="0"/>
          <w:bCs w:val="0"/>
          <w:sz w:val="32"/>
          <w:szCs w:val="32"/>
          <w:lang w:val="en-US" w:eastAsia="zh-CN"/>
        </w:rPr>
        <w:t xml:space="preserve">  C.</w:t>
      </w:r>
      <w:r>
        <w:rPr>
          <w:rFonts w:hint="default" w:asciiTheme="minorEastAsia" w:hAnsiTheme="minorEastAsia" w:cstheme="minorEastAsia"/>
          <w:b w:val="0"/>
          <w:bCs w:val="0"/>
          <w:sz w:val="32"/>
          <w:szCs w:val="32"/>
          <w:lang w:val="en-US" w:eastAsia="zh-CN"/>
        </w:rPr>
        <w:t>内部审计</w:t>
      </w:r>
      <w:r>
        <w:rPr>
          <w:rFonts w:hint="eastAsia" w:asciiTheme="minorEastAsia" w:hAnsiTheme="minorEastAsia" w:cstheme="minorEastAsia"/>
          <w:b w:val="0"/>
          <w:bCs w:val="0"/>
          <w:sz w:val="32"/>
          <w:szCs w:val="32"/>
          <w:lang w:val="en-US" w:eastAsia="zh-CN"/>
        </w:rPr>
        <w:t xml:space="preserve">   D.</w:t>
      </w:r>
      <w:r>
        <w:rPr>
          <w:rFonts w:hint="default" w:asciiTheme="minorEastAsia" w:hAnsiTheme="minorEastAsia" w:cstheme="minorEastAsia"/>
          <w:b w:val="0"/>
          <w:bCs w:val="0"/>
          <w:sz w:val="32"/>
          <w:szCs w:val="32"/>
          <w:lang w:val="en-US" w:eastAsia="zh-CN"/>
        </w:rPr>
        <w:t>管理控制</w:t>
      </w:r>
    </w:p>
    <w:p>
      <w:pPr>
        <w:numPr>
          <w:ilvl w:val="0"/>
          <w:numId w:val="0"/>
        </w:numPr>
        <w:jc w:val="left"/>
        <w:rPr>
          <w:rFonts w:hint="default"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答案：B</w:t>
      </w:r>
    </w:p>
    <w:p>
      <w:pPr>
        <w:numPr>
          <w:ilvl w:val="0"/>
          <w:numId w:val="2"/>
        </w:numPr>
        <w:ind w:left="0" w:leftChars="0" w:firstLine="0" w:firstLine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下列哪一项不是可转换债券的特点（</w:t>
      </w:r>
      <w:r>
        <w:rPr>
          <w:rFonts w:hint="eastAsia" w:asciiTheme="minorEastAsia" w:hAnsiTheme="minorEastAsia" w:cstheme="minorEastAsia"/>
          <w:b w:val="0"/>
          <w:bCs w:val="0"/>
          <w:sz w:val="32"/>
          <w:szCs w:val="32"/>
          <w:lang w:val="en-US" w:eastAsia="zh-CN"/>
        </w:rPr>
        <w:t xml:space="preserve">   </w:t>
      </w:r>
      <w:r>
        <w:rPr>
          <w:rFonts w:hint="default" w:asciiTheme="minorEastAsia" w:hAnsiTheme="minorEastAsia" w:cstheme="minorEastAsia"/>
          <w:b w:val="0"/>
          <w:bCs w:val="0"/>
          <w:sz w:val="32"/>
          <w:szCs w:val="32"/>
          <w:lang w:val="en-US" w:eastAsia="zh-CN"/>
        </w:rPr>
        <w:t>）</w:t>
      </w:r>
    </w:p>
    <w:p>
      <w:pPr>
        <w:numPr>
          <w:ilvl w:val="0"/>
          <w:numId w:val="7"/>
        </w:numPr>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具有融资的灵活性</w:t>
      </w:r>
    </w:p>
    <w:p>
      <w:pPr>
        <w:numPr>
          <w:ilvl w:val="0"/>
          <w:numId w:val="7"/>
        </w:numPr>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融资成本高</w:t>
      </w:r>
    </w:p>
    <w:p>
      <w:pPr>
        <w:numPr>
          <w:ilvl w:val="0"/>
          <w:numId w:val="7"/>
        </w:numPr>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可以延缓股本的直接计入，从而缓解对业绩的稀释</w:t>
      </w:r>
    </w:p>
    <w:p>
      <w:pPr>
        <w:numPr>
          <w:ilvl w:val="0"/>
          <w:numId w:val="7"/>
        </w:numPr>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发行可转换债券可以获得比直接发行股票更高的股票发行价格，可以募集更多资金</w:t>
      </w:r>
    </w:p>
    <w:p>
      <w:pPr>
        <w:numPr>
          <w:ilvl w:val="0"/>
          <w:numId w:val="0"/>
        </w:numPr>
        <w:jc w:val="left"/>
        <w:rPr>
          <w:rFonts w:hint="default"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答案：B</w:t>
      </w:r>
    </w:p>
    <w:p>
      <w:pPr>
        <w:numPr>
          <w:ilvl w:val="0"/>
          <w:numId w:val="2"/>
        </w:numPr>
        <w:ind w:left="0" w:leftChars="0" w:firstLine="0" w:firstLine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  ）之后的股票交易，其股票价格有可能下降。</w:t>
      </w:r>
    </w:p>
    <w:p>
      <w:pPr>
        <w:numPr>
          <w:ilvl w:val="0"/>
          <w:numId w:val="8"/>
        </w:numPr>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股利宣告日</w:t>
      </w:r>
    </w:p>
    <w:p>
      <w:pPr>
        <w:numPr>
          <w:ilvl w:val="0"/>
          <w:numId w:val="8"/>
        </w:numPr>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股权登记日</w:t>
      </w:r>
    </w:p>
    <w:p>
      <w:pPr>
        <w:numPr>
          <w:ilvl w:val="0"/>
          <w:numId w:val="8"/>
        </w:numPr>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股利支付日</w:t>
      </w:r>
    </w:p>
    <w:p>
      <w:pPr>
        <w:numPr>
          <w:ilvl w:val="0"/>
          <w:numId w:val="8"/>
        </w:numPr>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除权日</w:t>
      </w:r>
    </w:p>
    <w:p>
      <w:pPr>
        <w:numPr>
          <w:ilvl w:val="0"/>
          <w:numId w:val="0"/>
        </w:numPr>
        <w:jc w:val="left"/>
        <w:rPr>
          <w:rFonts w:hint="default"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答案：D</w:t>
      </w:r>
    </w:p>
    <w:p>
      <w:pPr>
        <w:numPr>
          <w:ilvl w:val="0"/>
          <w:numId w:val="2"/>
        </w:numPr>
        <w:ind w:left="0" w:leftChars="0" w:firstLine="0" w:firstLine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下列各项中，属于授权批准控制要求的是（  ）。</w:t>
      </w:r>
    </w:p>
    <w:p>
      <w:pPr>
        <w:numPr>
          <w:ilvl w:val="0"/>
          <w:numId w:val="9"/>
        </w:numPr>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单位应合理设置会计及相关工作岗位，明确职责权限。</w:t>
      </w:r>
    </w:p>
    <w:p>
      <w:pPr>
        <w:numPr>
          <w:ilvl w:val="0"/>
          <w:numId w:val="9"/>
        </w:numPr>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单位内部的各级管理层必须在授权范围内行使职权和承</w:t>
      </w:r>
    </w:p>
    <w:p>
      <w:pPr>
        <w:numPr>
          <w:ilvl w:val="0"/>
          <w:numId w:val="0"/>
        </w:numPr>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担责任。</w:t>
      </w:r>
    </w:p>
    <w:p>
      <w:pPr>
        <w:numPr>
          <w:ilvl w:val="0"/>
          <w:numId w:val="9"/>
        </w:numPr>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单位应明确账、证、表的处理程序。</w:t>
      </w:r>
    </w:p>
    <w:p>
      <w:pPr>
        <w:numPr>
          <w:ilvl w:val="0"/>
          <w:numId w:val="9"/>
        </w:numPr>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单位应建立和完善会计档案保管和会计工作交接办法。</w:t>
      </w:r>
    </w:p>
    <w:p>
      <w:pPr>
        <w:numPr>
          <w:ilvl w:val="0"/>
          <w:numId w:val="0"/>
        </w:numPr>
        <w:jc w:val="left"/>
        <w:rPr>
          <w:rFonts w:hint="default"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答案：B</w:t>
      </w:r>
    </w:p>
    <w:p>
      <w:pPr>
        <w:numPr>
          <w:ilvl w:val="0"/>
          <w:numId w:val="2"/>
        </w:numPr>
        <w:ind w:left="0" w:leftChars="0" w:firstLine="0" w:firstLine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现金预算属于下列项目中(   )</w:t>
      </w:r>
    </w:p>
    <w:p>
      <w:pPr>
        <w:numPr>
          <w:ilvl w:val="0"/>
          <w:numId w:val="10"/>
        </w:numPr>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业务预算</w:t>
      </w:r>
    </w:p>
    <w:p>
      <w:pPr>
        <w:numPr>
          <w:ilvl w:val="0"/>
          <w:numId w:val="10"/>
        </w:numPr>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生产预算</w:t>
      </w:r>
    </w:p>
    <w:p>
      <w:pPr>
        <w:numPr>
          <w:ilvl w:val="0"/>
          <w:numId w:val="10"/>
        </w:numPr>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财务预算</w:t>
      </w:r>
    </w:p>
    <w:p>
      <w:pPr>
        <w:numPr>
          <w:ilvl w:val="0"/>
          <w:numId w:val="10"/>
        </w:numPr>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专门决策预算</w:t>
      </w:r>
    </w:p>
    <w:p>
      <w:pPr>
        <w:numPr>
          <w:ilvl w:val="0"/>
          <w:numId w:val="0"/>
        </w:numPr>
        <w:jc w:val="left"/>
        <w:rPr>
          <w:rFonts w:hint="default"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答案：C</w:t>
      </w:r>
    </w:p>
    <w:p>
      <w:pPr>
        <w:numPr>
          <w:ilvl w:val="0"/>
          <w:numId w:val="2"/>
        </w:numPr>
        <w:ind w:left="0" w:leftChars="0" w:firstLine="0" w:firstLine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项目投资决策中，完整的项目计算期是指(   )</w:t>
      </w:r>
    </w:p>
    <w:p>
      <w:pPr>
        <w:numPr>
          <w:ilvl w:val="0"/>
          <w:numId w:val="11"/>
        </w:numPr>
        <w:ind w:left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建设期</w:t>
      </w:r>
    </w:p>
    <w:p>
      <w:pPr>
        <w:numPr>
          <w:ilvl w:val="0"/>
          <w:numId w:val="11"/>
        </w:numPr>
        <w:ind w:left="0" w:leftChars="0" w:firstLine="0" w:firstLine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生产经营期</w:t>
      </w:r>
    </w:p>
    <w:p>
      <w:pPr>
        <w:numPr>
          <w:ilvl w:val="0"/>
          <w:numId w:val="11"/>
        </w:numPr>
        <w:ind w:left="0" w:leftChars="0" w:firstLine="0" w:firstLine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建设期+达产期</w:t>
      </w:r>
    </w:p>
    <w:p>
      <w:pPr>
        <w:numPr>
          <w:ilvl w:val="0"/>
          <w:numId w:val="11"/>
        </w:numPr>
        <w:ind w:left="0" w:leftChars="0" w:firstLine="0" w:firstLine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建设期+生产经营期</w:t>
      </w:r>
    </w:p>
    <w:p>
      <w:pPr>
        <w:numPr>
          <w:ilvl w:val="0"/>
          <w:numId w:val="0"/>
        </w:numPr>
        <w:jc w:val="left"/>
        <w:rPr>
          <w:rFonts w:hint="default"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答案：D</w:t>
      </w:r>
    </w:p>
    <w:p>
      <w:pPr>
        <w:numPr>
          <w:ilvl w:val="0"/>
          <w:numId w:val="2"/>
        </w:numPr>
        <w:ind w:left="0" w:leftChars="0" w:firstLine="0" w:firstLine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如果上市公司董事会下设薪酬、审计、提名等委员会的，独立董事应当在委员会成员中占有（    ）以上的比例。</w:t>
      </w:r>
    </w:p>
    <w:p>
      <w:pPr>
        <w:numPr>
          <w:ilvl w:val="0"/>
          <w:numId w:val="12"/>
        </w:numPr>
        <w:tabs>
          <w:tab w:val="left" w:pos="636"/>
          <w:tab w:val="clear" w:pos="312"/>
        </w:tabs>
        <w:ind w:left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二分之一</w:t>
      </w:r>
    </w:p>
    <w:p>
      <w:pPr>
        <w:numPr>
          <w:ilvl w:val="0"/>
          <w:numId w:val="12"/>
        </w:numPr>
        <w:tabs>
          <w:tab w:val="left" w:pos="636"/>
          <w:tab w:val="clear" w:pos="312"/>
        </w:tabs>
        <w:ind w:left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三分之一</w:t>
      </w:r>
    </w:p>
    <w:p>
      <w:pPr>
        <w:numPr>
          <w:ilvl w:val="0"/>
          <w:numId w:val="12"/>
        </w:numPr>
        <w:tabs>
          <w:tab w:val="left" w:pos="636"/>
          <w:tab w:val="clear" w:pos="312"/>
        </w:tabs>
        <w:ind w:left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两名</w:t>
      </w:r>
    </w:p>
    <w:p>
      <w:pPr>
        <w:numPr>
          <w:ilvl w:val="0"/>
          <w:numId w:val="12"/>
        </w:numPr>
        <w:tabs>
          <w:tab w:val="left" w:pos="636"/>
          <w:tab w:val="clear" w:pos="312"/>
        </w:tabs>
        <w:ind w:left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三名 </w:t>
      </w:r>
    </w:p>
    <w:p>
      <w:pPr>
        <w:numPr>
          <w:ilvl w:val="0"/>
          <w:numId w:val="0"/>
        </w:numPr>
        <w:tabs>
          <w:tab w:val="left" w:pos="636"/>
        </w:tabs>
        <w:jc w:val="left"/>
        <w:rPr>
          <w:rFonts w:hint="default"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答案：A</w:t>
      </w:r>
    </w:p>
    <w:p>
      <w:pPr>
        <w:numPr>
          <w:ilvl w:val="0"/>
          <w:numId w:val="2"/>
        </w:numPr>
        <w:tabs>
          <w:tab w:val="left" w:pos="636"/>
        </w:tabs>
        <w:ind w:left="0" w:leftChars="0" w:firstLine="0" w:firstLine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投资于国库券时可不必考虑的风险是(     )。</w:t>
      </w:r>
    </w:p>
    <w:p>
      <w:pPr>
        <w:numPr>
          <w:ilvl w:val="0"/>
          <w:numId w:val="13"/>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违约风险</w:t>
      </w:r>
    </w:p>
    <w:p>
      <w:pPr>
        <w:numPr>
          <w:ilvl w:val="0"/>
          <w:numId w:val="13"/>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利率风险</w:t>
      </w:r>
    </w:p>
    <w:p>
      <w:pPr>
        <w:numPr>
          <w:ilvl w:val="0"/>
          <w:numId w:val="13"/>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购买力风险</w:t>
      </w:r>
    </w:p>
    <w:p>
      <w:pPr>
        <w:numPr>
          <w:ilvl w:val="0"/>
          <w:numId w:val="13"/>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再投资风险</w:t>
      </w:r>
    </w:p>
    <w:p>
      <w:pPr>
        <w:numPr>
          <w:ilvl w:val="0"/>
          <w:numId w:val="0"/>
        </w:numPr>
        <w:tabs>
          <w:tab w:val="left" w:pos="636"/>
        </w:tabs>
        <w:jc w:val="left"/>
        <w:rPr>
          <w:rFonts w:hint="default"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答案：A</w:t>
      </w:r>
    </w:p>
    <w:p>
      <w:pPr>
        <w:numPr>
          <w:ilvl w:val="0"/>
          <w:numId w:val="2"/>
        </w:numPr>
        <w:tabs>
          <w:tab w:val="left" w:pos="636"/>
        </w:tabs>
        <w:ind w:left="0" w:leftChars="0" w:firstLine="0" w:firstLine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普通年金也称为（    ）。</w:t>
      </w:r>
    </w:p>
    <w:p>
      <w:pPr>
        <w:numPr>
          <w:ilvl w:val="0"/>
          <w:numId w:val="14"/>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后付年金</w:t>
      </w:r>
    </w:p>
    <w:p>
      <w:pPr>
        <w:numPr>
          <w:ilvl w:val="0"/>
          <w:numId w:val="14"/>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先付年金</w:t>
      </w:r>
    </w:p>
    <w:p>
      <w:pPr>
        <w:numPr>
          <w:ilvl w:val="0"/>
          <w:numId w:val="14"/>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递延年金</w:t>
      </w:r>
    </w:p>
    <w:p>
      <w:pPr>
        <w:numPr>
          <w:ilvl w:val="0"/>
          <w:numId w:val="14"/>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永续年金</w:t>
      </w:r>
    </w:p>
    <w:p>
      <w:pPr>
        <w:numPr>
          <w:ilvl w:val="0"/>
          <w:numId w:val="0"/>
        </w:numPr>
        <w:tabs>
          <w:tab w:val="left" w:pos="636"/>
        </w:tabs>
        <w:jc w:val="left"/>
        <w:rPr>
          <w:rFonts w:hint="default"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答案：A</w:t>
      </w:r>
    </w:p>
    <w:p>
      <w:pPr>
        <w:numPr>
          <w:ilvl w:val="0"/>
          <w:numId w:val="2"/>
        </w:numPr>
        <w:tabs>
          <w:tab w:val="left" w:pos="636"/>
        </w:tabs>
        <w:ind w:left="0" w:leftChars="0" w:firstLine="0" w:firstLine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下列财务比率反映企业短期偿债能力的有（　　）。</w:t>
      </w:r>
    </w:p>
    <w:p>
      <w:pPr>
        <w:widowControl w:val="0"/>
        <w:numPr>
          <w:ilvl w:val="0"/>
          <w:numId w:val="15"/>
        </w:numPr>
        <w:tabs>
          <w:tab w:val="left" w:pos="636"/>
          <w:tab w:val="clear" w:pos="312"/>
        </w:tabs>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现金流量比率</w:t>
      </w:r>
    </w:p>
    <w:p>
      <w:pPr>
        <w:widowControl w:val="0"/>
        <w:numPr>
          <w:ilvl w:val="0"/>
          <w:numId w:val="15"/>
        </w:numPr>
        <w:tabs>
          <w:tab w:val="left" w:pos="636"/>
          <w:tab w:val="clear" w:pos="312"/>
        </w:tabs>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股东权益报酬率</w:t>
      </w:r>
    </w:p>
    <w:p>
      <w:pPr>
        <w:widowControl w:val="0"/>
        <w:numPr>
          <w:ilvl w:val="0"/>
          <w:numId w:val="15"/>
        </w:numPr>
        <w:tabs>
          <w:tab w:val="left" w:pos="636"/>
          <w:tab w:val="clear" w:pos="312"/>
        </w:tabs>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流动资产周转率</w:t>
      </w:r>
    </w:p>
    <w:p>
      <w:pPr>
        <w:widowControl w:val="0"/>
        <w:numPr>
          <w:ilvl w:val="0"/>
          <w:numId w:val="15"/>
        </w:numPr>
        <w:tabs>
          <w:tab w:val="left" w:pos="636"/>
          <w:tab w:val="clear" w:pos="312"/>
        </w:tabs>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产权比率</w:t>
      </w:r>
    </w:p>
    <w:p>
      <w:pPr>
        <w:widowControl w:val="0"/>
        <w:numPr>
          <w:ilvl w:val="0"/>
          <w:numId w:val="0"/>
        </w:numPr>
        <w:tabs>
          <w:tab w:val="left" w:pos="636"/>
        </w:tabs>
        <w:jc w:val="left"/>
        <w:rPr>
          <w:rFonts w:hint="default"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答案：C</w:t>
      </w:r>
    </w:p>
    <w:p>
      <w:pPr>
        <w:widowControl w:val="0"/>
        <w:numPr>
          <w:ilvl w:val="0"/>
          <w:numId w:val="2"/>
        </w:numPr>
        <w:tabs>
          <w:tab w:val="left" w:pos="636"/>
        </w:tabs>
        <w:ind w:left="0" w:leftChars="0" w:firstLine="0" w:firstLine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从经营杠杆系数的公式中看出，只要存在(    )企业就会产生经营杠杆作用。</w:t>
      </w:r>
    </w:p>
    <w:p>
      <w:pPr>
        <w:widowControl w:val="0"/>
        <w:numPr>
          <w:ilvl w:val="0"/>
          <w:numId w:val="16"/>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变动成本</w:t>
      </w:r>
    </w:p>
    <w:p>
      <w:pPr>
        <w:widowControl w:val="0"/>
        <w:numPr>
          <w:ilvl w:val="0"/>
          <w:numId w:val="16"/>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固定成本</w:t>
      </w:r>
    </w:p>
    <w:p>
      <w:pPr>
        <w:widowControl w:val="0"/>
        <w:numPr>
          <w:ilvl w:val="0"/>
          <w:numId w:val="16"/>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经营费用</w:t>
      </w:r>
    </w:p>
    <w:p>
      <w:pPr>
        <w:widowControl w:val="0"/>
        <w:numPr>
          <w:ilvl w:val="0"/>
          <w:numId w:val="16"/>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期间费用</w:t>
      </w:r>
    </w:p>
    <w:p>
      <w:pPr>
        <w:widowControl w:val="0"/>
        <w:numPr>
          <w:ilvl w:val="0"/>
          <w:numId w:val="0"/>
        </w:numPr>
        <w:tabs>
          <w:tab w:val="left" w:pos="636"/>
        </w:tabs>
        <w:jc w:val="left"/>
        <w:rPr>
          <w:rFonts w:hint="default"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答案：B</w:t>
      </w:r>
    </w:p>
    <w:p>
      <w:pPr>
        <w:widowControl w:val="0"/>
        <w:numPr>
          <w:ilvl w:val="0"/>
          <w:numId w:val="2"/>
        </w:numPr>
        <w:tabs>
          <w:tab w:val="left" w:pos="636"/>
        </w:tabs>
        <w:ind w:left="0" w:leftChars="0" w:firstLine="0" w:firstLine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某投资者购买了某种有价证券，购买后发生了剧烈的物价变动，其他条件不变，则投资者承受的主要风险是(    )。</w:t>
      </w:r>
    </w:p>
    <w:p>
      <w:pPr>
        <w:widowControl w:val="0"/>
        <w:numPr>
          <w:ilvl w:val="0"/>
          <w:numId w:val="17"/>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变现风险</w:t>
      </w:r>
    </w:p>
    <w:p>
      <w:pPr>
        <w:widowControl w:val="0"/>
        <w:numPr>
          <w:ilvl w:val="0"/>
          <w:numId w:val="17"/>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违约风险</w:t>
      </w:r>
    </w:p>
    <w:p>
      <w:pPr>
        <w:widowControl w:val="0"/>
        <w:numPr>
          <w:ilvl w:val="0"/>
          <w:numId w:val="17"/>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利率风险</w:t>
      </w:r>
    </w:p>
    <w:p>
      <w:pPr>
        <w:widowControl w:val="0"/>
        <w:numPr>
          <w:ilvl w:val="0"/>
          <w:numId w:val="17"/>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通货膨胀风险</w:t>
      </w:r>
    </w:p>
    <w:p>
      <w:pPr>
        <w:widowControl w:val="0"/>
        <w:numPr>
          <w:ilvl w:val="0"/>
          <w:numId w:val="0"/>
        </w:numPr>
        <w:tabs>
          <w:tab w:val="left" w:pos="636"/>
        </w:tabs>
        <w:jc w:val="left"/>
        <w:rPr>
          <w:rFonts w:hint="default"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答案：D</w:t>
      </w:r>
    </w:p>
    <w:p>
      <w:pPr>
        <w:widowControl w:val="0"/>
        <w:numPr>
          <w:ilvl w:val="0"/>
          <w:numId w:val="2"/>
        </w:numPr>
        <w:tabs>
          <w:tab w:val="left" w:pos="636"/>
        </w:tabs>
        <w:ind w:left="0" w:leftChars="0" w:firstLine="0" w:firstLine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我国企业应采用的较合理的财务管理目标是（    ）</w:t>
      </w:r>
    </w:p>
    <w:p>
      <w:pPr>
        <w:widowControl w:val="0"/>
        <w:numPr>
          <w:ilvl w:val="0"/>
          <w:numId w:val="18"/>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利润最大化</w:t>
      </w:r>
    </w:p>
    <w:p>
      <w:pPr>
        <w:widowControl w:val="0"/>
        <w:numPr>
          <w:ilvl w:val="0"/>
          <w:numId w:val="18"/>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每股利润最大化</w:t>
      </w:r>
    </w:p>
    <w:p>
      <w:pPr>
        <w:widowControl w:val="0"/>
        <w:numPr>
          <w:ilvl w:val="0"/>
          <w:numId w:val="18"/>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企业价值最大化</w:t>
      </w:r>
    </w:p>
    <w:p>
      <w:pPr>
        <w:widowControl w:val="0"/>
        <w:numPr>
          <w:ilvl w:val="0"/>
          <w:numId w:val="18"/>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资本利润率最大化</w:t>
      </w:r>
    </w:p>
    <w:p>
      <w:pPr>
        <w:widowControl w:val="0"/>
        <w:numPr>
          <w:ilvl w:val="0"/>
          <w:numId w:val="0"/>
        </w:numPr>
        <w:tabs>
          <w:tab w:val="left" w:pos="636"/>
        </w:tabs>
        <w:jc w:val="left"/>
        <w:rPr>
          <w:rFonts w:hint="default"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答案：C</w:t>
      </w:r>
    </w:p>
    <w:p>
      <w:pPr>
        <w:widowControl w:val="0"/>
        <w:numPr>
          <w:ilvl w:val="0"/>
          <w:numId w:val="2"/>
        </w:numPr>
        <w:tabs>
          <w:tab w:val="left" w:pos="636"/>
        </w:tabs>
        <w:ind w:left="0" w:leftChars="0" w:firstLine="0" w:firstLine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下列项目中不能用于分派股利的是（    ）</w:t>
      </w:r>
    </w:p>
    <w:p>
      <w:pPr>
        <w:widowControl w:val="0"/>
        <w:numPr>
          <w:ilvl w:val="0"/>
          <w:numId w:val="19"/>
        </w:numPr>
        <w:tabs>
          <w:tab w:val="left" w:pos="636"/>
          <w:tab w:val="clear" w:pos="312"/>
        </w:tabs>
        <w:ind w:left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资本公积</w:t>
      </w:r>
    </w:p>
    <w:p>
      <w:pPr>
        <w:widowControl w:val="0"/>
        <w:numPr>
          <w:ilvl w:val="0"/>
          <w:numId w:val="19"/>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盈余公积金</w:t>
      </w:r>
    </w:p>
    <w:p>
      <w:pPr>
        <w:widowControl w:val="0"/>
        <w:numPr>
          <w:ilvl w:val="0"/>
          <w:numId w:val="19"/>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税后利润</w:t>
      </w:r>
    </w:p>
    <w:p>
      <w:pPr>
        <w:widowControl w:val="0"/>
        <w:numPr>
          <w:ilvl w:val="0"/>
          <w:numId w:val="19"/>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上年未分配利润</w:t>
      </w:r>
    </w:p>
    <w:p>
      <w:pPr>
        <w:widowControl w:val="0"/>
        <w:numPr>
          <w:ilvl w:val="0"/>
          <w:numId w:val="0"/>
        </w:numPr>
        <w:tabs>
          <w:tab w:val="left" w:pos="636"/>
        </w:tabs>
        <w:jc w:val="left"/>
        <w:rPr>
          <w:rFonts w:hint="default"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答案：A</w:t>
      </w:r>
    </w:p>
    <w:p>
      <w:pPr>
        <w:widowControl w:val="0"/>
        <w:numPr>
          <w:ilvl w:val="0"/>
          <w:numId w:val="2"/>
        </w:numPr>
        <w:tabs>
          <w:tab w:val="left" w:pos="636"/>
        </w:tabs>
        <w:ind w:left="0" w:leftChars="0" w:firstLine="0" w:firstLine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用未来报酬的总现值，减去投资额的现值，计算出的是（　　　）。</w:t>
      </w:r>
    </w:p>
    <w:p>
      <w:pPr>
        <w:widowControl w:val="0"/>
        <w:numPr>
          <w:ilvl w:val="0"/>
          <w:numId w:val="20"/>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投资利润率</w:t>
      </w:r>
    </w:p>
    <w:p>
      <w:pPr>
        <w:widowControl w:val="0"/>
        <w:numPr>
          <w:ilvl w:val="0"/>
          <w:numId w:val="20"/>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投资回收期</w:t>
      </w:r>
    </w:p>
    <w:p>
      <w:pPr>
        <w:widowControl w:val="0"/>
        <w:numPr>
          <w:ilvl w:val="0"/>
          <w:numId w:val="20"/>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现值指数</w:t>
      </w:r>
    </w:p>
    <w:p>
      <w:pPr>
        <w:widowControl w:val="0"/>
        <w:numPr>
          <w:ilvl w:val="0"/>
          <w:numId w:val="20"/>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净现值</w:t>
      </w:r>
    </w:p>
    <w:p>
      <w:pPr>
        <w:widowControl w:val="0"/>
        <w:numPr>
          <w:ilvl w:val="0"/>
          <w:numId w:val="0"/>
        </w:numPr>
        <w:tabs>
          <w:tab w:val="left" w:pos="636"/>
        </w:tabs>
        <w:jc w:val="left"/>
        <w:rPr>
          <w:rFonts w:hint="default"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答案：D</w:t>
      </w:r>
    </w:p>
    <w:p>
      <w:pPr>
        <w:widowControl w:val="0"/>
        <w:numPr>
          <w:ilvl w:val="0"/>
          <w:numId w:val="2"/>
        </w:numPr>
        <w:tabs>
          <w:tab w:val="left" w:pos="636"/>
        </w:tabs>
        <w:ind w:left="0" w:leftChars="0" w:firstLine="0" w:firstLine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下列各项成本项目中，属于存货经济进货批量控制中的决策相关成本的是(    )</w:t>
      </w:r>
    </w:p>
    <w:p>
      <w:pPr>
        <w:widowControl w:val="0"/>
        <w:numPr>
          <w:ilvl w:val="0"/>
          <w:numId w:val="21"/>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存货进价成本</w:t>
      </w:r>
    </w:p>
    <w:p>
      <w:pPr>
        <w:widowControl w:val="0"/>
        <w:numPr>
          <w:ilvl w:val="0"/>
          <w:numId w:val="21"/>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存货采购税金</w:t>
      </w:r>
    </w:p>
    <w:p>
      <w:pPr>
        <w:widowControl w:val="0"/>
        <w:numPr>
          <w:ilvl w:val="0"/>
          <w:numId w:val="21"/>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固定性储存成本</w:t>
      </w:r>
    </w:p>
    <w:p>
      <w:pPr>
        <w:widowControl w:val="0"/>
        <w:numPr>
          <w:ilvl w:val="0"/>
          <w:numId w:val="21"/>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变动性储存成本</w:t>
      </w:r>
    </w:p>
    <w:p>
      <w:pPr>
        <w:widowControl w:val="0"/>
        <w:numPr>
          <w:ilvl w:val="0"/>
          <w:numId w:val="0"/>
        </w:numPr>
        <w:tabs>
          <w:tab w:val="left" w:pos="636"/>
        </w:tabs>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答案：D</w:t>
      </w:r>
    </w:p>
    <w:p>
      <w:pPr>
        <w:widowControl w:val="0"/>
        <w:numPr>
          <w:ilvl w:val="0"/>
          <w:numId w:val="1"/>
        </w:numPr>
        <w:tabs>
          <w:tab w:val="left" w:pos="636"/>
        </w:tabs>
        <w:ind w:left="0" w:leftChars="0" w:firstLine="0" w:firstLine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多项选择题</w:t>
      </w:r>
    </w:p>
    <w:p>
      <w:pPr>
        <w:widowControl w:val="0"/>
        <w:numPr>
          <w:ilvl w:val="0"/>
          <w:numId w:val="22"/>
        </w:numPr>
        <w:tabs>
          <w:tab w:val="left" w:pos="636"/>
        </w:tabs>
        <w:ind w:left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净现值指标的缺点有（     ）。</w:t>
      </w:r>
    </w:p>
    <w:p>
      <w:pPr>
        <w:widowControl w:val="0"/>
        <w:numPr>
          <w:ilvl w:val="0"/>
          <w:numId w:val="23"/>
        </w:numPr>
        <w:tabs>
          <w:tab w:val="left" w:pos="636"/>
          <w:tab w:val="clear" w:pos="312"/>
        </w:tabs>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不能从动态的角度直接反映投资项目的实际收益率水平</w:t>
      </w:r>
    </w:p>
    <w:p>
      <w:pPr>
        <w:widowControl w:val="0"/>
        <w:numPr>
          <w:ilvl w:val="0"/>
          <w:numId w:val="23"/>
        </w:numPr>
        <w:tabs>
          <w:tab w:val="left" w:pos="636"/>
          <w:tab w:val="clear" w:pos="312"/>
        </w:tabs>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当多个项目投资额不等时，仅用净现值无法确定投资方案的优劣</w:t>
      </w:r>
    </w:p>
    <w:p>
      <w:pPr>
        <w:widowControl w:val="0"/>
        <w:numPr>
          <w:ilvl w:val="0"/>
          <w:numId w:val="23"/>
        </w:numPr>
        <w:tabs>
          <w:tab w:val="left" w:pos="636"/>
          <w:tab w:val="clear" w:pos="312"/>
        </w:tabs>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净现金流量的测量和折现率的确定比较困难</w:t>
      </w:r>
    </w:p>
    <w:p>
      <w:pPr>
        <w:widowControl w:val="0"/>
        <w:numPr>
          <w:ilvl w:val="0"/>
          <w:numId w:val="23"/>
        </w:numPr>
        <w:tabs>
          <w:tab w:val="left" w:pos="636"/>
          <w:tab w:val="clear" w:pos="312"/>
        </w:tabs>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没有考虑投资的风险性 </w:t>
      </w:r>
    </w:p>
    <w:p>
      <w:pPr>
        <w:widowControl w:val="0"/>
        <w:numPr>
          <w:ilvl w:val="0"/>
          <w:numId w:val="0"/>
        </w:numPr>
        <w:tabs>
          <w:tab w:val="left" w:pos="636"/>
        </w:tabs>
        <w:jc w:val="left"/>
        <w:rPr>
          <w:rFonts w:hint="default"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答案：ABC</w:t>
      </w:r>
    </w:p>
    <w:p>
      <w:pPr>
        <w:widowControl w:val="0"/>
        <w:numPr>
          <w:ilvl w:val="0"/>
          <w:numId w:val="22"/>
        </w:numPr>
        <w:tabs>
          <w:tab w:val="left" w:pos="636"/>
        </w:tabs>
        <w:ind w:left="0" w:leftChars="0" w:firstLine="0" w:firstLine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下列各项中，属于全面预算体系构成内容的有（   ）。</w:t>
      </w:r>
    </w:p>
    <w:p>
      <w:pPr>
        <w:widowControl w:val="0"/>
        <w:numPr>
          <w:ilvl w:val="0"/>
          <w:numId w:val="24"/>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业务预算</w:t>
      </w:r>
    </w:p>
    <w:p>
      <w:pPr>
        <w:widowControl w:val="0"/>
        <w:numPr>
          <w:ilvl w:val="0"/>
          <w:numId w:val="24"/>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财务预算</w:t>
      </w:r>
    </w:p>
    <w:p>
      <w:pPr>
        <w:widowControl w:val="0"/>
        <w:numPr>
          <w:ilvl w:val="0"/>
          <w:numId w:val="24"/>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专门决策预算</w:t>
      </w:r>
    </w:p>
    <w:p>
      <w:pPr>
        <w:widowControl w:val="0"/>
        <w:numPr>
          <w:ilvl w:val="0"/>
          <w:numId w:val="24"/>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零基预算</w:t>
      </w:r>
    </w:p>
    <w:p>
      <w:pPr>
        <w:widowControl w:val="0"/>
        <w:numPr>
          <w:ilvl w:val="0"/>
          <w:numId w:val="0"/>
        </w:numPr>
        <w:tabs>
          <w:tab w:val="left" w:pos="636"/>
        </w:tabs>
        <w:jc w:val="left"/>
        <w:rPr>
          <w:rFonts w:hint="default"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答案：ABC</w:t>
      </w:r>
    </w:p>
    <w:p>
      <w:pPr>
        <w:widowControl w:val="0"/>
        <w:numPr>
          <w:ilvl w:val="0"/>
          <w:numId w:val="22"/>
        </w:numPr>
        <w:tabs>
          <w:tab w:val="left" w:pos="636"/>
        </w:tabs>
        <w:ind w:left="0" w:leftChars="0" w:firstLine="0" w:firstLine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上市公司应按照有关规定披露公司治理的有关信息，包括但不限于（    ）。</w:t>
      </w:r>
    </w:p>
    <w:p>
      <w:pPr>
        <w:widowControl w:val="0"/>
        <w:numPr>
          <w:ilvl w:val="0"/>
          <w:numId w:val="25"/>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董事会、监事会的人员及构成</w:t>
      </w:r>
    </w:p>
    <w:p>
      <w:pPr>
        <w:widowControl w:val="0"/>
        <w:numPr>
          <w:ilvl w:val="0"/>
          <w:numId w:val="25"/>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董事会、监事会的工作及评价</w:t>
      </w:r>
    </w:p>
    <w:p>
      <w:pPr>
        <w:widowControl w:val="0"/>
        <w:numPr>
          <w:ilvl w:val="0"/>
          <w:numId w:val="25"/>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各专门委员会的组成及工作情况</w:t>
      </w:r>
    </w:p>
    <w:p>
      <w:pPr>
        <w:widowControl w:val="0"/>
        <w:numPr>
          <w:ilvl w:val="0"/>
          <w:numId w:val="25"/>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公司治理的实际状况，及与本准则存在的差异及其原因</w:t>
      </w:r>
    </w:p>
    <w:p>
      <w:pPr>
        <w:widowControl w:val="0"/>
        <w:numPr>
          <w:ilvl w:val="0"/>
          <w:numId w:val="0"/>
        </w:numPr>
        <w:tabs>
          <w:tab w:val="left" w:pos="636"/>
        </w:tabs>
        <w:jc w:val="left"/>
        <w:rPr>
          <w:rFonts w:hint="default"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答案：ABCD</w:t>
      </w:r>
      <w:r>
        <w:rPr>
          <w:rFonts w:hint="default" w:asciiTheme="minorEastAsia" w:hAnsiTheme="minorEastAsia" w:cstheme="minorEastAsia"/>
          <w:b w:val="0"/>
          <w:bCs w:val="0"/>
          <w:sz w:val="32"/>
          <w:szCs w:val="32"/>
          <w:lang w:val="en-US" w:eastAsia="zh-CN"/>
        </w:rPr>
        <w:t> </w:t>
      </w:r>
    </w:p>
    <w:p>
      <w:pPr>
        <w:widowControl w:val="0"/>
        <w:numPr>
          <w:ilvl w:val="0"/>
          <w:numId w:val="22"/>
        </w:numPr>
        <w:tabs>
          <w:tab w:val="left" w:pos="636"/>
        </w:tabs>
        <w:ind w:left="0" w:leftChars="0" w:firstLine="0" w:firstLine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目前上市发行定价的基本方法有（    ）。</w:t>
      </w:r>
    </w:p>
    <w:p>
      <w:pPr>
        <w:widowControl w:val="0"/>
        <w:numPr>
          <w:ilvl w:val="0"/>
          <w:numId w:val="26"/>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议价法</w:t>
      </w:r>
    </w:p>
    <w:p>
      <w:pPr>
        <w:widowControl w:val="0"/>
        <w:numPr>
          <w:ilvl w:val="0"/>
          <w:numId w:val="26"/>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竞价法</w:t>
      </w:r>
    </w:p>
    <w:p>
      <w:pPr>
        <w:widowControl w:val="0"/>
        <w:numPr>
          <w:ilvl w:val="0"/>
          <w:numId w:val="26"/>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固定价格方式</w:t>
      </w:r>
    </w:p>
    <w:p>
      <w:pPr>
        <w:widowControl w:val="0"/>
        <w:numPr>
          <w:ilvl w:val="0"/>
          <w:numId w:val="26"/>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市场询价方式</w:t>
      </w:r>
    </w:p>
    <w:p>
      <w:pPr>
        <w:widowControl w:val="0"/>
        <w:numPr>
          <w:ilvl w:val="0"/>
          <w:numId w:val="0"/>
        </w:numPr>
        <w:tabs>
          <w:tab w:val="left" w:pos="636"/>
        </w:tabs>
        <w:jc w:val="left"/>
        <w:rPr>
          <w:rFonts w:hint="default"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答案：AB</w:t>
      </w:r>
    </w:p>
    <w:p>
      <w:pPr>
        <w:widowControl w:val="0"/>
        <w:numPr>
          <w:ilvl w:val="0"/>
          <w:numId w:val="22"/>
        </w:numPr>
        <w:tabs>
          <w:tab w:val="left" w:pos="636"/>
        </w:tabs>
        <w:ind w:left="0" w:leftChars="0" w:firstLine="0" w:firstLine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发行可转换债券需要考虑的因素有（   ）。</w:t>
      </w:r>
    </w:p>
    <w:p>
      <w:pPr>
        <w:widowControl w:val="0"/>
        <w:numPr>
          <w:ilvl w:val="0"/>
          <w:numId w:val="27"/>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期限</w:t>
      </w:r>
    </w:p>
    <w:p>
      <w:pPr>
        <w:widowControl w:val="0"/>
        <w:numPr>
          <w:ilvl w:val="0"/>
          <w:numId w:val="27"/>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票面利率</w:t>
      </w:r>
    </w:p>
    <w:p>
      <w:pPr>
        <w:widowControl w:val="0"/>
        <w:numPr>
          <w:ilvl w:val="0"/>
          <w:numId w:val="27"/>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转股价格</w:t>
      </w:r>
    </w:p>
    <w:p>
      <w:pPr>
        <w:widowControl w:val="0"/>
        <w:numPr>
          <w:ilvl w:val="0"/>
          <w:numId w:val="27"/>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发行费用</w:t>
      </w:r>
    </w:p>
    <w:p>
      <w:pPr>
        <w:widowControl w:val="0"/>
        <w:numPr>
          <w:ilvl w:val="0"/>
          <w:numId w:val="0"/>
        </w:numPr>
        <w:tabs>
          <w:tab w:val="left" w:pos="636"/>
        </w:tabs>
        <w:jc w:val="left"/>
        <w:rPr>
          <w:rFonts w:hint="default"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答案：ABC</w:t>
      </w:r>
      <w:r>
        <w:rPr>
          <w:rFonts w:hint="default" w:asciiTheme="minorEastAsia" w:hAnsiTheme="minorEastAsia" w:cstheme="minorEastAsia"/>
          <w:b w:val="0"/>
          <w:bCs w:val="0"/>
          <w:sz w:val="32"/>
          <w:szCs w:val="32"/>
          <w:lang w:val="en-US" w:eastAsia="zh-CN"/>
        </w:rPr>
        <w:t> </w:t>
      </w:r>
    </w:p>
    <w:p>
      <w:pPr>
        <w:widowControl w:val="0"/>
        <w:numPr>
          <w:ilvl w:val="0"/>
          <w:numId w:val="22"/>
        </w:numPr>
        <w:tabs>
          <w:tab w:val="left" w:pos="636"/>
        </w:tabs>
        <w:ind w:left="0" w:leftChars="0" w:firstLine="0" w:firstLine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公司在确定股利分配政策时，要考虑各方面的利益要求，主要应考虑以下有关方面的利益（   ）。</w:t>
      </w:r>
    </w:p>
    <w:p>
      <w:pPr>
        <w:widowControl w:val="0"/>
        <w:numPr>
          <w:ilvl w:val="0"/>
          <w:numId w:val="28"/>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国家及主管部门</w:t>
      </w:r>
    </w:p>
    <w:p>
      <w:pPr>
        <w:widowControl w:val="0"/>
        <w:numPr>
          <w:ilvl w:val="0"/>
          <w:numId w:val="28"/>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经营者</w:t>
      </w:r>
    </w:p>
    <w:p>
      <w:pPr>
        <w:widowControl w:val="0"/>
        <w:numPr>
          <w:ilvl w:val="0"/>
          <w:numId w:val="28"/>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投资者</w:t>
      </w:r>
    </w:p>
    <w:p>
      <w:pPr>
        <w:widowControl w:val="0"/>
        <w:numPr>
          <w:ilvl w:val="0"/>
          <w:numId w:val="28"/>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债权人</w:t>
      </w:r>
    </w:p>
    <w:p>
      <w:pPr>
        <w:widowControl w:val="0"/>
        <w:numPr>
          <w:ilvl w:val="0"/>
          <w:numId w:val="0"/>
        </w:numPr>
        <w:tabs>
          <w:tab w:val="left" w:pos="636"/>
        </w:tabs>
        <w:jc w:val="left"/>
        <w:rPr>
          <w:rFonts w:hint="default"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答案：BCD</w:t>
      </w:r>
    </w:p>
    <w:p>
      <w:pPr>
        <w:widowControl w:val="0"/>
        <w:numPr>
          <w:ilvl w:val="0"/>
          <w:numId w:val="22"/>
        </w:numPr>
        <w:tabs>
          <w:tab w:val="left" w:pos="636"/>
        </w:tabs>
        <w:ind w:left="0" w:leftChars="0" w:firstLine="0" w:firstLine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业绩评价系统的两个核心要素是（   ）。</w:t>
      </w:r>
    </w:p>
    <w:p>
      <w:pPr>
        <w:widowControl w:val="0"/>
        <w:numPr>
          <w:ilvl w:val="0"/>
          <w:numId w:val="29"/>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评价主体的选择</w:t>
      </w:r>
    </w:p>
    <w:p>
      <w:pPr>
        <w:widowControl w:val="0"/>
        <w:numPr>
          <w:ilvl w:val="0"/>
          <w:numId w:val="29"/>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评价目标的建立</w:t>
      </w:r>
    </w:p>
    <w:p>
      <w:pPr>
        <w:widowControl w:val="0"/>
        <w:numPr>
          <w:ilvl w:val="0"/>
          <w:numId w:val="29"/>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评价指标体系的构建</w:t>
      </w:r>
    </w:p>
    <w:p>
      <w:pPr>
        <w:widowControl w:val="0"/>
        <w:numPr>
          <w:ilvl w:val="0"/>
          <w:numId w:val="29"/>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激励机制的选择</w:t>
      </w:r>
    </w:p>
    <w:p>
      <w:pPr>
        <w:widowControl w:val="0"/>
        <w:numPr>
          <w:ilvl w:val="0"/>
          <w:numId w:val="0"/>
        </w:numPr>
        <w:tabs>
          <w:tab w:val="left" w:pos="636"/>
        </w:tabs>
        <w:jc w:val="left"/>
        <w:rPr>
          <w:rFonts w:hint="default"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答案：CD</w:t>
      </w:r>
    </w:p>
    <w:p>
      <w:pPr>
        <w:widowControl w:val="0"/>
        <w:numPr>
          <w:ilvl w:val="0"/>
          <w:numId w:val="22"/>
        </w:numPr>
        <w:tabs>
          <w:tab w:val="left" w:pos="636"/>
        </w:tabs>
        <w:ind w:left="0" w:leftChars="0" w:firstLine="0" w:firstLine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股份有限公司的设立可以采取（   ）的方式。</w:t>
      </w:r>
    </w:p>
    <w:p>
      <w:pPr>
        <w:widowControl w:val="0"/>
        <w:numPr>
          <w:ilvl w:val="0"/>
          <w:numId w:val="30"/>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公募设立</w:t>
      </w:r>
    </w:p>
    <w:p>
      <w:pPr>
        <w:widowControl w:val="0"/>
        <w:numPr>
          <w:ilvl w:val="0"/>
          <w:numId w:val="30"/>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发起设立</w:t>
      </w:r>
    </w:p>
    <w:p>
      <w:pPr>
        <w:widowControl w:val="0"/>
        <w:numPr>
          <w:ilvl w:val="0"/>
          <w:numId w:val="30"/>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私募设立</w:t>
      </w:r>
    </w:p>
    <w:p>
      <w:pPr>
        <w:widowControl w:val="0"/>
        <w:numPr>
          <w:ilvl w:val="0"/>
          <w:numId w:val="30"/>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募集设立</w:t>
      </w:r>
    </w:p>
    <w:p>
      <w:pPr>
        <w:widowControl w:val="0"/>
        <w:numPr>
          <w:ilvl w:val="0"/>
          <w:numId w:val="0"/>
        </w:numPr>
        <w:tabs>
          <w:tab w:val="left" w:pos="636"/>
        </w:tabs>
        <w:jc w:val="left"/>
        <w:rPr>
          <w:rFonts w:hint="default"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答案：BD</w:t>
      </w:r>
    </w:p>
    <w:p>
      <w:pPr>
        <w:widowControl w:val="0"/>
        <w:numPr>
          <w:ilvl w:val="0"/>
          <w:numId w:val="22"/>
        </w:numPr>
        <w:tabs>
          <w:tab w:val="left" w:pos="636"/>
        </w:tabs>
        <w:ind w:left="0" w:leftChars="0" w:firstLine="0" w:firstLine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发放股票股利会引起（  ）。</w:t>
      </w:r>
    </w:p>
    <w:p>
      <w:pPr>
        <w:widowControl w:val="0"/>
        <w:numPr>
          <w:ilvl w:val="0"/>
          <w:numId w:val="31"/>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公司资产的流出</w:t>
      </w:r>
    </w:p>
    <w:p>
      <w:pPr>
        <w:widowControl w:val="0"/>
        <w:numPr>
          <w:ilvl w:val="0"/>
          <w:numId w:val="31"/>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股东权益总额的变化</w:t>
      </w:r>
    </w:p>
    <w:p>
      <w:pPr>
        <w:widowControl w:val="0"/>
        <w:numPr>
          <w:ilvl w:val="0"/>
          <w:numId w:val="31"/>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每股盈利下降</w:t>
      </w:r>
    </w:p>
    <w:p>
      <w:pPr>
        <w:widowControl w:val="0"/>
        <w:numPr>
          <w:ilvl w:val="0"/>
          <w:numId w:val="31"/>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股东权益项目的变化</w:t>
      </w:r>
    </w:p>
    <w:p>
      <w:pPr>
        <w:widowControl w:val="0"/>
        <w:numPr>
          <w:ilvl w:val="0"/>
          <w:numId w:val="0"/>
        </w:numPr>
        <w:tabs>
          <w:tab w:val="left" w:pos="636"/>
        </w:tabs>
        <w:jc w:val="left"/>
        <w:rPr>
          <w:rFonts w:hint="default"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答案：CD</w:t>
      </w:r>
    </w:p>
    <w:p>
      <w:pPr>
        <w:widowControl w:val="0"/>
        <w:numPr>
          <w:ilvl w:val="0"/>
          <w:numId w:val="22"/>
        </w:numPr>
        <w:tabs>
          <w:tab w:val="left" w:pos="636"/>
        </w:tabs>
        <w:ind w:left="0" w:leftChars="0" w:firstLine="0" w:firstLine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影响目标利润规划的因素有哪些（  ）。</w:t>
      </w:r>
    </w:p>
    <w:p>
      <w:pPr>
        <w:widowControl w:val="0"/>
        <w:numPr>
          <w:ilvl w:val="0"/>
          <w:numId w:val="32"/>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资本保值与增值目标</w:t>
      </w:r>
    </w:p>
    <w:p>
      <w:pPr>
        <w:widowControl w:val="0"/>
        <w:numPr>
          <w:ilvl w:val="0"/>
          <w:numId w:val="32"/>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市场竞争</w:t>
      </w:r>
    </w:p>
    <w:p>
      <w:pPr>
        <w:widowControl w:val="0"/>
        <w:numPr>
          <w:ilvl w:val="0"/>
          <w:numId w:val="32"/>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资源的配套程度</w:t>
      </w:r>
    </w:p>
    <w:p>
      <w:pPr>
        <w:widowControl w:val="0"/>
        <w:numPr>
          <w:ilvl w:val="0"/>
          <w:numId w:val="32"/>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纳税约束</w:t>
      </w:r>
    </w:p>
    <w:p>
      <w:pPr>
        <w:widowControl w:val="0"/>
        <w:numPr>
          <w:ilvl w:val="0"/>
          <w:numId w:val="0"/>
        </w:numPr>
        <w:tabs>
          <w:tab w:val="left" w:pos="636"/>
        </w:tabs>
        <w:jc w:val="left"/>
        <w:rPr>
          <w:rFonts w:hint="default"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答案：ABCD</w:t>
      </w:r>
    </w:p>
    <w:p>
      <w:pPr>
        <w:widowControl w:val="0"/>
        <w:numPr>
          <w:ilvl w:val="0"/>
          <w:numId w:val="22"/>
        </w:numPr>
        <w:tabs>
          <w:tab w:val="left" w:pos="636"/>
        </w:tabs>
        <w:ind w:left="0" w:leftChars="0" w:firstLine="0" w:firstLine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下列各项中，属于年金形式的项目有（     ）。</w:t>
      </w:r>
    </w:p>
    <w:p>
      <w:pPr>
        <w:widowControl w:val="0"/>
        <w:numPr>
          <w:ilvl w:val="0"/>
          <w:numId w:val="33"/>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零存整取储蓄存款的整取额</w:t>
      </w:r>
    </w:p>
    <w:p>
      <w:pPr>
        <w:widowControl w:val="0"/>
        <w:numPr>
          <w:ilvl w:val="0"/>
          <w:numId w:val="33"/>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定期定额支付的养老金年</w:t>
      </w:r>
    </w:p>
    <w:p>
      <w:pPr>
        <w:widowControl w:val="0"/>
        <w:numPr>
          <w:ilvl w:val="0"/>
          <w:numId w:val="33"/>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投资回收额</w:t>
      </w:r>
    </w:p>
    <w:p>
      <w:pPr>
        <w:widowControl w:val="0"/>
        <w:numPr>
          <w:ilvl w:val="0"/>
          <w:numId w:val="33"/>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偿债基金</w:t>
      </w:r>
    </w:p>
    <w:p>
      <w:pPr>
        <w:widowControl w:val="0"/>
        <w:numPr>
          <w:ilvl w:val="0"/>
          <w:numId w:val="0"/>
        </w:numPr>
        <w:tabs>
          <w:tab w:val="left" w:pos="636"/>
        </w:tabs>
        <w:jc w:val="left"/>
        <w:rPr>
          <w:rFonts w:hint="default"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答案：BCD</w:t>
      </w:r>
    </w:p>
    <w:p>
      <w:pPr>
        <w:widowControl w:val="0"/>
        <w:numPr>
          <w:ilvl w:val="0"/>
          <w:numId w:val="22"/>
        </w:numPr>
        <w:tabs>
          <w:tab w:val="left" w:pos="636"/>
        </w:tabs>
        <w:ind w:left="0" w:leftChars="0" w:firstLine="0" w:firstLine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在下列各种情况下，会给企业带来经营风险的有（    ）。</w:t>
      </w:r>
    </w:p>
    <w:p>
      <w:pPr>
        <w:widowControl w:val="0"/>
        <w:numPr>
          <w:ilvl w:val="0"/>
          <w:numId w:val="34"/>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企业举债过度</w:t>
      </w:r>
    </w:p>
    <w:p>
      <w:pPr>
        <w:widowControl w:val="0"/>
        <w:numPr>
          <w:ilvl w:val="0"/>
          <w:numId w:val="34"/>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原材料价格发生变动</w:t>
      </w:r>
    </w:p>
    <w:p>
      <w:pPr>
        <w:widowControl w:val="0"/>
        <w:numPr>
          <w:ilvl w:val="0"/>
          <w:numId w:val="34"/>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企业产品更新换代周期过长</w:t>
      </w:r>
    </w:p>
    <w:p>
      <w:pPr>
        <w:widowControl w:val="0"/>
        <w:numPr>
          <w:ilvl w:val="0"/>
          <w:numId w:val="34"/>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企业产品的生产质量不稳定</w:t>
      </w:r>
    </w:p>
    <w:p>
      <w:pPr>
        <w:widowControl w:val="0"/>
        <w:numPr>
          <w:ilvl w:val="0"/>
          <w:numId w:val="0"/>
        </w:numPr>
        <w:tabs>
          <w:tab w:val="left" w:pos="636"/>
        </w:tabs>
        <w:jc w:val="left"/>
        <w:rPr>
          <w:rFonts w:hint="default"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答案：BCD</w:t>
      </w:r>
    </w:p>
    <w:p>
      <w:pPr>
        <w:widowControl w:val="0"/>
        <w:numPr>
          <w:ilvl w:val="0"/>
          <w:numId w:val="22"/>
        </w:numPr>
        <w:tabs>
          <w:tab w:val="left" w:pos="636"/>
        </w:tabs>
        <w:ind w:left="0" w:leftChars="0" w:firstLine="0" w:firstLine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企业的筹资动机主要包括（      ）。</w:t>
      </w:r>
    </w:p>
    <w:p>
      <w:pPr>
        <w:widowControl w:val="0"/>
        <w:numPr>
          <w:ilvl w:val="0"/>
          <w:numId w:val="35"/>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扩张筹资动机</w:t>
      </w:r>
    </w:p>
    <w:p>
      <w:pPr>
        <w:widowControl w:val="0"/>
        <w:numPr>
          <w:ilvl w:val="0"/>
          <w:numId w:val="35"/>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偿债动机</w:t>
      </w:r>
    </w:p>
    <w:p>
      <w:pPr>
        <w:widowControl w:val="0"/>
        <w:numPr>
          <w:ilvl w:val="0"/>
          <w:numId w:val="35"/>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新建筹资动机</w:t>
      </w:r>
    </w:p>
    <w:p>
      <w:pPr>
        <w:widowControl w:val="0"/>
        <w:numPr>
          <w:ilvl w:val="0"/>
          <w:numId w:val="35"/>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混合动机</w:t>
      </w:r>
    </w:p>
    <w:p>
      <w:pPr>
        <w:widowControl w:val="0"/>
        <w:numPr>
          <w:ilvl w:val="0"/>
          <w:numId w:val="0"/>
        </w:numPr>
        <w:tabs>
          <w:tab w:val="left" w:pos="636"/>
        </w:tabs>
        <w:jc w:val="left"/>
        <w:rPr>
          <w:rFonts w:hint="default"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答案：ABCD</w:t>
      </w:r>
    </w:p>
    <w:p>
      <w:pPr>
        <w:widowControl w:val="0"/>
        <w:numPr>
          <w:ilvl w:val="0"/>
          <w:numId w:val="22"/>
        </w:numPr>
        <w:tabs>
          <w:tab w:val="left" w:pos="636"/>
        </w:tabs>
        <w:ind w:left="0" w:leftChars="0" w:firstLine="0" w:firstLine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企业筹资的要求除了筹措及时、来源合理外，还有（    ）。</w:t>
      </w:r>
    </w:p>
    <w:p>
      <w:pPr>
        <w:widowControl w:val="0"/>
        <w:numPr>
          <w:ilvl w:val="0"/>
          <w:numId w:val="36"/>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成本节约</w:t>
      </w:r>
    </w:p>
    <w:p>
      <w:pPr>
        <w:widowControl w:val="0"/>
        <w:numPr>
          <w:ilvl w:val="0"/>
          <w:numId w:val="36"/>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规模适当</w:t>
      </w:r>
    </w:p>
    <w:p>
      <w:pPr>
        <w:widowControl w:val="0"/>
        <w:numPr>
          <w:ilvl w:val="0"/>
          <w:numId w:val="36"/>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方式经济</w:t>
      </w:r>
    </w:p>
    <w:p>
      <w:pPr>
        <w:widowControl w:val="0"/>
        <w:numPr>
          <w:ilvl w:val="0"/>
          <w:numId w:val="36"/>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结构合理</w:t>
      </w:r>
    </w:p>
    <w:p>
      <w:pPr>
        <w:widowControl w:val="0"/>
        <w:numPr>
          <w:ilvl w:val="0"/>
          <w:numId w:val="0"/>
        </w:numPr>
        <w:tabs>
          <w:tab w:val="left" w:pos="636"/>
        </w:tabs>
        <w:jc w:val="left"/>
        <w:rPr>
          <w:rFonts w:hint="default"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答案：ABCD</w:t>
      </w:r>
    </w:p>
    <w:p>
      <w:pPr>
        <w:widowControl w:val="0"/>
        <w:numPr>
          <w:ilvl w:val="0"/>
          <w:numId w:val="22"/>
        </w:numPr>
        <w:tabs>
          <w:tab w:val="left" w:pos="636"/>
        </w:tabs>
        <w:ind w:left="0" w:leftChars="0" w:firstLine="0" w:firstLine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应收账款的管理成本主要包括（    ）。</w:t>
      </w:r>
    </w:p>
    <w:p>
      <w:pPr>
        <w:widowControl w:val="0"/>
        <w:numPr>
          <w:ilvl w:val="0"/>
          <w:numId w:val="37"/>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调查顾客信用情况的费用</w:t>
      </w:r>
    </w:p>
    <w:p>
      <w:pPr>
        <w:widowControl w:val="0"/>
        <w:numPr>
          <w:ilvl w:val="0"/>
          <w:numId w:val="37"/>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收集各种信息的费用</w:t>
      </w:r>
    </w:p>
    <w:p>
      <w:pPr>
        <w:widowControl w:val="0"/>
        <w:numPr>
          <w:ilvl w:val="0"/>
          <w:numId w:val="37"/>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账簿的记录费用</w:t>
      </w:r>
    </w:p>
    <w:p>
      <w:pPr>
        <w:widowControl w:val="0"/>
        <w:numPr>
          <w:ilvl w:val="0"/>
          <w:numId w:val="37"/>
        </w:numPr>
        <w:tabs>
          <w:tab w:val="left" w:pos="636"/>
          <w:tab w:val="clear" w:pos="312"/>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收账费用</w:t>
      </w:r>
    </w:p>
    <w:p>
      <w:pPr>
        <w:widowControl w:val="0"/>
        <w:numPr>
          <w:ilvl w:val="0"/>
          <w:numId w:val="0"/>
        </w:numPr>
        <w:tabs>
          <w:tab w:val="left" w:pos="636"/>
        </w:tabs>
        <w:jc w:val="left"/>
        <w:rPr>
          <w:rFonts w:hint="default"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答案：ABCD</w:t>
      </w:r>
    </w:p>
    <w:p>
      <w:pPr>
        <w:widowControl w:val="0"/>
        <w:numPr>
          <w:ilvl w:val="0"/>
          <w:numId w:val="1"/>
        </w:numPr>
        <w:tabs>
          <w:tab w:val="left" w:pos="636"/>
        </w:tabs>
        <w:ind w:left="0" w:leftChars="0" w:firstLine="0" w:firstLine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判断题</w:t>
      </w:r>
    </w:p>
    <w:p>
      <w:pPr>
        <w:widowControl w:val="0"/>
        <w:numPr>
          <w:ilvl w:val="0"/>
          <w:numId w:val="38"/>
        </w:numPr>
        <w:tabs>
          <w:tab w:val="left" w:pos="636"/>
        </w:tabs>
        <w:ind w:left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上市公司向独立董事提供的资料，上市公司及独立董事本人应当至少保存3年。（  错  ）</w:t>
      </w:r>
    </w:p>
    <w:p>
      <w:pPr>
        <w:widowControl w:val="0"/>
        <w:numPr>
          <w:ilvl w:val="0"/>
          <w:numId w:val="38"/>
        </w:numPr>
        <w:tabs>
          <w:tab w:val="left" w:pos="636"/>
        </w:tabs>
        <w:ind w:left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净现值率直接反映投资项目的实际收益率。（  错  ）</w:t>
      </w:r>
    </w:p>
    <w:p>
      <w:pPr>
        <w:widowControl w:val="0"/>
        <w:numPr>
          <w:ilvl w:val="0"/>
          <w:numId w:val="38"/>
        </w:numPr>
        <w:tabs>
          <w:tab w:val="left" w:pos="636"/>
        </w:tabs>
        <w:ind w:left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股东大会应当每年召开两次年会。（  错  ）</w:t>
      </w:r>
    </w:p>
    <w:p>
      <w:pPr>
        <w:widowControl w:val="0"/>
        <w:numPr>
          <w:ilvl w:val="0"/>
          <w:numId w:val="38"/>
        </w:numPr>
        <w:tabs>
          <w:tab w:val="left" w:pos="636"/>
        </w:tabs>
        <w:ind w:left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内部控制能够绝对保证企业经营管理合法合规，资产安全，财务报告及相关信息真实完整，提高经营效率和效果，促进企业实现发展战略。（  错  ）</w:t>
      </w:r>
    </w:p>
    <w:p>
      <w:pPr>
        <w:widowControl w:val="0"/>
        <w:numPr>
          <w:ilvl w:val="0"/>
          <w:numId w:val="38"/>
        </w:numPr>
        <w:tabs>
          <w:tab w:val="left" w:pos="636"/>
        </w:tabs>
        <w:ind w:left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股票发行时可以按票面金额发行，也可以溢价或折价发行。（  错  ）</w:t>
      </w:r>
    </w:p>
    <w:p>
      <w:pPr>
        <w:widowControl w:val="0"/>
        <w:numPr>
          <w:ilvl w:val="0"/>
          <w:numId w:val="38"/>
        </w:numPr>
        <w:tabs>
          <w:tab w:val="left" w:pos="636"/>
        </w:tabs>
        <w:ind w:left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通货膨胀时期，企业一般采取偏松的收益分配政策。（  错  ）</w:t>
      </w:r>
    </w:p>
    <w:p>
      <w:pPr>
        <w:widowControl w:val="0"/>
        <w:numPr>
          <w:ilvl w:val="0"/>
          <w:numId w:val="38"/>
        </w:numPr>
        <w:tabs>
          <w:tab w:val="left" w:pos="636"/>
        </w:tabs>
        <w:ind w:left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可供分配的净利润既可用于向投资者分红，也可进行对外投资。（  错  ）</w:t>
      </w:r>
    </w:p>
    <w:p>
      <w:pPr>
        <w:widowControl w:val="0"/>
        <w:numPr>
          <w:ilvl w:val="0"/>
          <w:numId w:val="38"/>
        </w:numPr>
        <w:tabs>
          <w:tab w:val="left" w:pos="636"/>
        </w:tabs>
        <w:ind w:left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公司兼并和收购其本质上都是公司产权的有偿转让。（  对  ）</w:t>
      </w:r>
    </w:p>
    <w:p>
      <w:pPr>
        <w:widowControl w:val="0"/>
        <w:numPr>
          <w:ilvl w:val="0"/>
          <w:numId w:val="38"/>
        </w:numPr>
        <w:tabs>
          <w:tab w:val="left" w:pos="636"/>
        </w:tabs>
        <w:ind w:left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利用动态指标对同一个投资项目进行评价和决策，会得出完全相同的结论。（  错  ）</w:t>
      </w:r>
    </w:p>
    <w:p>
      <w:pPr>
        <w:widowControl w:val="0"/>
        <w:numPr>
          <w:ilvl w:val="0"/>
          <w:numId w:val="38"/>
        </w:numPr>
        <w:tabs>
          <w:tab w:val="left" w:pos="636"/>
        </w:tabs>
        <w:ind w:left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融资的灵活性是可转换债券的特点之一。（  对  ）</w:t>
      </w:r>
    </w:p>
    <w:p>
      <w:pPr>
        <w:widowControl w:val="0"/>
        <w:numPr>
          <w:ilvl w:val="0"/>
          <w:numId w:val="38"/>
        </w:numPr>
        <w:tabs>
          <w:tab w:val="left" w:pos="636"/>
        </w:tabs>
        <w:ind w:left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资金时间价值是在既没有风险也没有通货膨胀条件下的社会平均利润率。（  对  ）</w:t>
      </w:r>
    </w:p>
    <w:p>
      <w:pPr>
        <w:widowControl w:val="0"/>
        <w:numPr>
          <w:ilvl w:val="0"/>
          <w:numId w:val="38"/>
        </w:numPr>
        <w:tabs>
          <w:tab w:val="left" w:pos="636"/>
        </w:tabs>
        <w:ind w:left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现金的管理成本是相对固定的，在确定现金最佳持有量时可不考虑它的影响。（  对 ）</w:t>
      </w:r>
    </w:p>
    <w:p>
      <w:pPr>
        <w:widowControl w:val="0"/>
        <w:numPr>
          <w:ilvl w:val="0"/>
          <w:numId w:val="38"/>
        </w:numPr>
        <w:tabs>
          <w:tab w:val="left" w:pos="636"/>
        </w:tabs>
        <w:ind w:left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在市场利率大于票面利率的情况下，债券的发行价格大于其面值。（  错  ）</w:t>
      </w:r>
    </w:p>
    <w:p>
      <w:pPr>
        <w:widowControl w:val="0"/>
        <w:numPr>
          <w:ilvl w:val="0"/>
          <w:numId w:val="38"/>
        </w:numPr>
        <w:tabs>
          <w:tab w:val="left" w:pos="636"/>
        </w:tabs>
        <w:ind w:left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留存收益是企业经营中的内部积累，不是向外界筹措，因而它不存在资金成本。（  错 ）</w:t>
      </w:r>
    </w:p>
    <w:p>
      <w:pPr>
        <w:widowControl w:val="0"/>
        <w:numPr>
          <w:ilvl w:val="0"/>
          <w:numId w:val="38"/>
        </w:numPr>
        <w:tabs>
          <w:tab w:val="left" w:pos="636"/>
        </w:tabs>
        <w:ind w:left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在各种资金来源中，凡是须支付固定性资金成本的资金都能产生财务杠杆作用。（  对  ）</w:t>
      </w:r>
    </w:p>
    <w:p>
      <w:pPr>
        <w:widowControl w:val="0"/>
        <w:numPr>
          <w:ilvl w:val="0"/>
          <w:numId w:val="38"/>
        </w:numPr>
        <w:tabs>
          <w:tab w:val="left" w:pos="636"/>
        </w:tabs>
        <w:ind w:left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投资回收期没有考虑资金时间价值，但考虑了回收期满后的现金流量状况。（ 错  ）</w:t>
      </w:r>
    </w:p>
    <w:p>
      <w:pPr>
        <w:widowControl w:val="0"/>
        <w:numPr>
          <w:ilvl w:val="0"/>
          <w:numId w:val="0"/>
        </w:numPr>
        <w:tabs>
          <w:tab w:val="left" w:pos="636"/>
        </w:tabs>
        <w:jc w:val="left"/>
        <w:rPr>
          <w:rFonts w:hint="eastAsia" w:asciiTheme="minorEastAsia" w:hAnsiTheme="minorEastAsia" w:cstheme="minorEastAsia"/>
          <w:b w:val="0"/>
          <w:bCs w:val="0"/>
          <w:sz w:val="32"/>
          <w:szCs w:val="32"/>
          <w:lang w:val="en-US" w:eastAsia="zh-CN"/>
        </w:rPr>
      </w:pPr>
    </w:p>
    <w:p>
      <w:pPr>
        <w:widowControl w:val="0"/>
        <w:numPr>
          <w:ilvl w:val="0"/>
          <w:numId w:val="1"/>
        </w:numPr>
        <w:tabs>
          <w:tab w:val="left" w:pos="636"/>
        </w:tabs>
        <w:ind w:left="0" w:leftChars="0" w:firstLine="0" w:firstLine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简答题</w:t>
      </w:r>
    </w:p>
    <w:p>
      <w:pPr>
        <w:widowControl w:val="0"/>
        <w:numPr>
          <w:ilvl w:val="0"/>
          <w:numId w:val="39"/>
        </w:numPr>
        <w:tabs>
          <w:tab w:val="left" w:pos="636"/>
        </w:tabs>
        <w:ind w:left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法人治理结构的功能与要点？</w:t>
      </w:r>
    </w:p>
    <w:p>
      <w:pPr>
        <w:widowControl w:val="0"/>
        <w:numPr>
          <w:ilvl w:val="0"/>
          <w:numId w:val="40"/>
        </w:numPr>
        <w:tabs>
          <w:tab w:val="left" w:pos="636"/>
          <w:tab w:val="clear" w:pos="312"/>
        </w:tabs>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法人治理结构包括四大机构：股东大会、董事会、经理层和监事会。(2)股东大会是公司的权力机构，董事会是公司的经营决策机构，经理层属于执行机构，监事会是监督机构。(3)股东会议的组成及功能。股东会议是由公司股东组成的机构。在股份公司，股东是指持有公司股票的投资者，在有限公司，股东是指认购公司股份的投资者。股东可以是自然人，也可以是法人。（4）董事会及其功能。董事会是公司的决策机关，对股东大会负责，依法对公司进行经营管理。董事会对外代表公司进行业务活动，对内管理公司的生产和经营。也就是说公司的所有内外事务和业务都在董事会的领导下进行。（5）经理及其功能。经理是公司事务和业务的执行机构，它由包括总经理、副总经理、财务负责人等在内的高级管理人员组成，负责处理公司的日常经营事务。这些高级管理人员受聘于董事会，在董事会授权范围内拥有公司事务的管理权，负责处理公司的日常经营事务。其中，总经理是负责公司日常业务活动的最重要的管理人员。（6）监事会及其功能。监事会是对董事会和经理执行业务的活动实行监督的机构。监事会作为公司的监察机构，其职责是对董事会和经理的活动实施监督。其内容包括一般业务上的监察，也包括会计事务上的，但对内它一般不能参与公司的业务决策和管理，对外一般无权代表公司。</w:t>
      </w:r>
    </w:p>
    <w:p>
      <w:pPr>
        <w:widowControl w:val="0"/>
        <w:numPr>
          <w:ilvl w:val="0"/>
          <w:numId w:val="39"/>
        </w:numPr>
        <w:tabs>
          <w:tab w:val="left" w:pos="636"/>
        </w:tabs>
        <w:ind w:left="0" w:leftChars="0" w:firstLine="0" w:firstLine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可转换债券筹资与发行普通股或普通债券筹资有何不同？</w:t>
      </w:r>
    </w:p>
    <w:p>
      <w:pPr>
        <w:widowControl w:val="0"/>
        <w:numPr>
          <w:ilvl w:val="0"/>
          <w:numId w:val="0"/>
        </w:numPr>
        <w:tabs>
          <w:tab w:val="left" w:pos="636"/>
        </w:tabs>
        <w:ind w:leftChars="0" w:firstLine="640" w:firstLineChars="20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从可转换债券自身特性看，发行可转换债券无疑是上市公司再融资的较佳选择。(1)是因为可转换债券一旦转换成股票，上市公司依然可以获得长期稳定的资本供给，除非发生股价远远低于转股价格的情况（深宝安转债就是失败的例子），因而可转换债券仍然具有债务和股权的双重性质，使公司具有融资的灵活性。(2)即使出现意外情形，可转换债券也是一种低成本的融资工具，根据《可转换公司债券管理办法》，可转换公司债券的利率不超过银行同期存款的利率水平，依照这个水平，可转换债券的融资成本应该是所有债权融资方式中最低的。另外，可转换债券利息可以当做财务费用，相比红利来说，一定程度上也起到避税的作用，这使相同条件下增加了留存收益；(3)可转换债券赋予投资者未来可转可不转的权利，且可转换债券转股有一个过程，可以延缓股本的直接计入，因此发行可转换债券不会像其他股权融资方式那样，造成股本极具扩张，从而可以缓解对业绩的稀释；(4)发行可转换债券可以获得比直接发行股票更高的股票发行价格，根据《可转换公司债券管理办法》和《上市公司可转换公司债券实施办法》规定，上市公司发行可转换债券转股价格的确定是以募集说明书前３０个交易日股票的平均收盘价格为基准，并上浮一定幅度，因此一般情况下相比较配股和增发来说，在扩张相同股本的情况下可以募集更多资金。</w:t>
      </w:r>
    </w:p>
    <w:p>
      <w:pPr>
        <w:widowControl w:val="0"/>
        <w:numPr>
          <w:ilvl w:val="0"/>
          <w:numId w:val="39"/>
        </w:numPr>
        <w:tabs>
          <w:tab w:val="left" w:pos="636"/>
        </w:tabs>
        <w:ind w:left="0" w:leftChars="0" w:firstLine="0" w:firstLine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在一个大型企业集团，母公司的功能应该如何定位？</w:t>
      </w:r>
    </w:p>
    <w:p>
      <w:pPr>
        <w:widowControl w:val="0"/>
        <w:numPr>
          <w:ilvl w:val="0"/>
          <w:numId w:val="0"/>
        </w:numPr>
        <w:tabs>
          <w:tab w:val="left" w:pos="636"/>
        </w:tabs>
        <w:ind w:leftChars="0" w:firstLine="640" w:firstLineChars="20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一个大型企业集团要以集权管理的思想来设计功能定位。建立集权型财务控制体制最关键的是要考查主要决策权的划分：投资决策权、对外筹资权、收益分配权、人事管理权、工资奖金分配权、资产处置权。在集权形式下，公司总部对各子公司、分公司拥有控制权，可以实现财务经营的规模效益，避免整个公司在资金筹措、财务信息研究、资金运营、成本费用控制、长期财务决策等方面的低效率的重复、内耗。同时公司总部把各部门、子公司分散的资金集中起来，根据战略意图调拨给所属的其他部门、子公司，或将暂时闲置的资金集中起来进行证券或开发其他投资，实现最大的经济效益，提高公司财务管理水平。</w:t>
      </w:r>
    </w:p>
    <w:p>
      <w:pPr>
        <w:widowControl w:val="0"/>
        <w:numPr>
          <w:ilvl w:val="0"/>
          <w:numId w:val="39"/>
        </w:numPr>
        <w:tabs>
          <w:tab w:val="left" w:pos="636"/>
        </w:tabs>
        <w:ind w:left="0" w:leftChars="0" w:firstLine="0" w:firstLine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试阐述内部审计与财务总监委派派制的关系？</w:t>
      </w:r>
    </w:p>
    <w:p>
      <w:pPr>
        <w:widowControl w:val="0"/>
        <w:numPr>
          <w:ilvl w:val="0"/>
          <w:numId w:val="0"/>
        </w:numPr>
        <w:tabs>
          <w:tab w:val="left" w:pos="636"/>
        </w:tabs>
        <w:ind w:firstLine="640" w:firstLineChars="20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内部审计，是指由部门 单位内部的专职机构和人员对本部门的经济活动所进行的审查和评价，借以维护财经法纪,改善经营管理，提高经济效益的一种独立性的经济监督活动。可分为内部财务审计和内部经营审计。</w:t>
      </w:r>
    </w:p>
    <w:p>
      <w:pPr>
        <w:widowControl w:val="0"/>
        <w:numPr>
          <w:ilvl w:val="0"/>
          <w:numId w:val="0"/>
        </w:numPr>
        <w:tabs>
          <w:tab w:val="left" w:pos="636"/>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财务总监委派制是母公司为维护集团整体利益，强化对子公司经营管理活动的财务控制和监督，由母公司直接对子公司委派财务总监，并纳入母公司财务部门的人员编制,实行统一管理与考核奖惩的财务控制制度与方式。</w:t>
      </w:r>
    </w:p>
    <w:p>
      <w:pPr>
        <w:widowControl w:val="0"/>
        <w:numPr>
          <w:ilvl w:val="0"/>
          <w:numId w:val="0"/>
        </w:numPr>
        <w:tabs>
          <w:tab w:val="left" w:pos="636"/>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内部审计与财务总监委派制都是企业内部控制制度的具体方法或具体的制度执行者,执行的目的都是为了确保企业集团的整体利益的完整，检查 监督企业自身财务经济活动行为合法合规与否，强化内部控制，促进和提高企业经营管理能力与水平。</w:t>
      </w:r>
    </w:p>
    <w:p>
      <w:pPr>
        <w:widowControl w:val="0"/>
        <w:numPr>
          <w:ilvl w:val="0"/>
          <w:numId w:val="0"/>
        </w:numPr>
        <w:tabs>
          <w:tab w:val="left" w:pos="636"/>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⑴工作的侧重点不同。财务总监委派制的侧重在于监督和检查子公司的经营方针、管理政策 ，特别是财务政策是否符合母公司的总体政策目标或章程，子公司是否存在管理目标逆向选择，从而危机母公司和其他股东的合法权益；内部审计侧重于检查财会部门的工作情况和企业各部门遵守财务制度的情况，同时对企业各种经营活动进行合规性合法性检查，核实经营过程中存在的问题，提出解决问题的建议和改进措施。</w:t>
      </w:r>
    </w:p>
    <w:p>
      <w:pPr>
        <w:widowControl w:val="0"/>
        <w:numPr>
          <w:ilvl w:val="0"/>
          <w:numId w:val="0"/>
        </w:numPr>
        <w:tabs>
          <w:tab w:val="left" w:pos="636"/>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⑵执行的人员不同。财务总监由母公司直接委派，以出资者身份，代表母公司对子公司财务活动进行监督，他的人事编制隶属总部的财务部门，由母公司对其进行考核与奖惩；内部审计人员属于企业专职审计人员，人事编制考核奖惩都由企业或部门内部进行，当母公司派总部审计人员对子公司或下属公司进行审计时，它的人员情况同财务总监相同。</w:t>
      </w:r>
    </w:p>
    <w:p>
      <w:pPr>
        <w:widowControl w:val="0"/>
        <w:numPr>
          <w:ilvl w:val="0"/>
          <w:numId w:val="0"/>
        </w:numPr>
        <w:tabs>
          <w:tab w:val="left" w:pos="636"/>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 xml:space="preserve">⑶工作方式不同。财务总监作为子公司财务部门的具体岗位，参与日常工作的检查与监督，是“全过程”的控制;内部审计是定期或不定期对企业内部工作进行审核检查。 </w:t>
      </w:r>
    </w:p>
    <w:p>
      <w:pPr>
        <w:widowControl w:val="0"/>
        <w:numPr>
          <w:ilvl w:val="0"/>
          <w:numId w:val="0"/>
        </w:numPr>
        <w:tabs>
          <w:tab w:val="left" w:pos="636"/>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在实际工作中，两者是互相促进互补不足。应将两种控制方法有机的结合起来，以达到强化和完善内部控制的力度。</w:t>
      </w:r>
    </w:p>
    <w:p>
      <w:pPr>
        <w:widowControl w:val="0"/>
        <w:numPr>
          <w:ilvl w:val="0"/>
          <w:numId w:val="39"/>
        </w:numPr>
        <w:tabs>
          <w:tab w:val="left" w:pos="636"/>
        </w:tabs>
        <w:ind w:left="0" w:leftChars="0" w:firstLine="0" w:firstLine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分析预算考评应遵循的原则,新华集团在遵循预算考评原则方面还有哪些需要考虑？</w:t>
      </w:r>
    </w:p>
    <w:p>
      <w:pPr>
        <w:widowControl w:val="0"/>
        <w:numPr>
          <w:ilvl w:val="0"/>
          <w:numId w:val="0"/>
        </w:numPr>
        <w:tabs>
          <w:tab w:val="left" w:pos="636"/>
        </w:tabs>
        <w:ind w:leftChars="0" w:firstLine="640" w:firstLineChars="20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①目标原则：目标原则，她一定是为战略目标服务的。例如，该集团施行目标利润管理，她的目标利润预算一定要保证利润的实现。这是一个前提。</w:t>
      </w:r>
    </w:p>
    <w:p>
      <w:pPr>
        <w:widowControl w:val="0"/>
        <w:numPr>
          <w:ilvl w:val="0"/>
          <w:numId w:val="0"/>
        </w:numPr>
        <w:tabs>
          <w:tab w:val="left" w:pos="636"/>
        </w:tabs>
        <w:ind w:leftChars="0" w:firstLine="640" w:firstLineChars="20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②激励原则：激励原则，在预算的考评过程中要体现激励原则。鼓励被考核人积极向上。</w:t>
      </w:r>
    </w:p>
    <w:p>
      <w:pPr>
        <w:widowControl w:val="0"/>
        <w:numPr>
          <w:ilvl w:val="0"/>
          <w:numId w:val="0"/>
        </w:numPr>
        <w:tabs>
          <w:tab w:val="left" w:pos="636"/>
        </w:tabs>
        <w:ind w:leftChars="0" w:firstLine="640" w:firstLineChars="20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③时效原则：这个集团的预算考评是分时间段的。月份的、季度的、半年的一年的考核都进行了相应的规定。并且认真地加以执行。</w:t>
      </w:r>
    </w:p>
    <w:p>
      <w:pPr>
        <w:widowControl w:val="0"/>
        <w:numPr>
          <w:ilvl w:val="0"/>
          <w:numId w:val="0"/>
        </w:numPr>
        <w:tabs>
          <w:tab w:val="left" w:pos="636"/>
        </w:tabs>
        <w:ind w:leftChars="0" w:firstLine="640" w:firstLineChars="20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④例外原则：例外原则是用于处理例外事项的。因为预算很复杂的，她在执行过程中毕竟会出现事先无法预料的事情，所以必须应用例外原则加以处理。</w:t>
      </w:r>
    </w:p>
    <w:p>
      <w:pPr>
        <w:widowControl w:val="0"/>
        <w:numPr>
          <w:ilvl w:val="0"/>
          <w:numId w:val="0"/>
        </w:numPr>
        <w:tabs>
          <w:tab w:val="left" w:pos="636"/>
        </w:tabs>
        <w:ind w:leftChars="0" w:firstLine="640" w:firstLineChars="20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⑤分级考评原则。分级考评是这个集团的特点。</w:t>
      </w:r>
    </w:p>
    <w:p>
      <w:pPr>
        <w:widowControl w:val="0"/>
        <w:numPr>
          <w:ilvl w:val="0"/>
          <w:numId w:val="0"/>
        </w:numPr>
        <w:tabs>
          <w:tab w:val="left" w:pos="636"/>
        </w:tabs>
        <w:ind w:leftChars="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集团对子公司，子公司对车间，车间对工段、班组进行分级考评。分级考评和预算的分级是连在一起的。无论是预算的编制、预算的控制、预算的考评都必须体现分级的理念。责任中心有投资中心、利润中心、成本中心、 费用中心。通过这几大中心来建立预算编制、预算的控制、预算的考评的分级管理制度。使得我们的预算无论从编制，还是从控制和考核成为一个完整的体系，这个预算才是都有效的。</w:t>
      </w:r>
    </w:p>
    <w:p>
      <w:pPr>
        <w:widowControl w:val="0"/>
        <w:numPr>
          <w:ilvl w:val="0"/>
          <w:numId w:val="39"/>
        </w:numPr>
        <w:tabs>
          <w:tab w:val="left" w:pos="636"/>
        </w:tabs>
        <w:ind w:left="0" w:leftChars="0" w:firstLine="0" w:firstLineChars="0"/>
        <w:jc w:val="left"/>
        <w:rPr>
          <w:rFonts w:hint="eastAsia" w:asciiTheme="minorEastAsia" w:hAnsiTheme="minorEastAsia" w:cstheme="minorEastAsia"/>
          <w:b w:val="0"/>
          <w:bCs w:val="0"/>
          <w:sz w:val="32"/>
          <w:szCs w:val="32"/>
          <w:lang w:val="en-US" w:eastAsia="zh-CN"/>
        </w:rPr>
      </w:pPr>
      <w:r>
        <w:rPr>
          <w:rFonts w:hint="eastAsia" w:asciiTheme="minorEastAsia" w:hAnsiTheme="minorEastAsia" w:cstheme="minorEastAsia"/>
          <w:b w:val="0"/>
          <w:bCs w:val="0"/>
          <w:sz w:val="32"/>
          <w:szCs w:val="32"/>
          <w:lang w:val="en-US" w:eastAsia="zh-CN"/>
        </w:rPr>
        <w:t>影响目标利润规划的因素有哪些？这些因素是如何影响目标利润的？</w:t>
      </w:r>
    </w:p>
    <w:p>
      <w:pPr>
        <w:widowControl w:val="0"/>
        <w:numPr>
          <w:ilvl w:val="0"/>
          <w:numId w:val="0"/>
        </w:numPr>
        <w:tabs>
          <w:tab w:val="left" w:pos="636"/>
        </w:tabs>
        <w:ind w:leftChars="0" w:firstLine="640" w:firstLineChars="20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影响目标利润规划的因素有⑴资本保值与增值目标⑵市场竞争⑶资源配置程度⑷纳税约束⑸其他利润相关者的影响。</w:t>
      </w:r>
    </w:p>
    <w:p>
      <w:pPr>
        <w:widowControl w:val="0"/>
        <w:numPr>
          <w:ilvl w:val="0"/>
          <w:numId w:val="0"/>
        </w:numPr>
        <w:tabs>
          <w:tab w:val="left" w:pos="636"/>
        </w:tabs>
        <w:ind w:leftChars="0" w:firstLine="640" w:firstLineChars="200"/>
        <w:jc w:val="left"/>
        <w:rPr>
          <w:rFonts w:hint="default" w:asciiTheme="minorEastAsia" w:hAnsiTheme="minorEastAsia" w:cstheme="minorEastAsia"/>
          <w:b w:val="0"/>
          <w:bCs w:val="0"/>
          <w:sz w:val="32"/>
          <w:szCs w:val="32"/>
          <w:lang w:val="en-US" w:eastAsia="zh-CN"/>
        </w:rPr>
      </w:pPr>
      <w:r>
        <w:rPr>
          <w:rFonts w:hint="default" w:asciiTheme="minorEastAsia" w:hAnsiTheme="minorEastAsia" w:cstheme="minorEastAsia"/>
          <w:b w:val="0"/>
          <w:bCs w:val="0"/>
          <w:sz w:val="32"/>
          <w:szCs w:val="32"/>
          <w:lang w:val="en-US" w:eastAsia="zh-CN"/>
        </w:rPr>
        <w:t>在市场竞争的环境下，实现资本保值与增值是企业经营理财的最终目的。从实现资本保值的目的出发，要求企业在目标利润规划时必须充分考虑所有者的收益期望。立足市场竞争，要求企业必须确立以市场开拓为龙头的营销战略，明确企业的目标市场和具有竞争力与增长潜力的产品定位，通过不断的市场渗透、市场开拓、产品开发和多元化经营，保障企业销售目标的实现。企业能否实现销售目标，取决于企业的各项资源，包括人力资源、物力资源、财务资源、管理资源和技术信息资源的配置状况，企业必须全方位提高各项资源的素质与配置程度，才能使目标销售的实现具有可靠和可信的依据。纳税因素对制定目标销售与目标利润的作用主要表现在对企业现金流量的影响，由于纳税而导致企业主权资本增值率降低。要使企业资产息税前利润率达到甚至超过社会或或行业平均水平，同时严格控制成本费用，做好税收筹划，合理安排资本结构，确保目标利润的实现。其他利益相关者包括债权人、供应商、顾客、雇员及整个社会的利益产生直接或间接的影响。如债权人将发现企业用于债务担保的资产价值低到不能再低；雇员的工资会很低而福利可能被完全忽略；顾客可能会得到劣质产品和服务，却支付高昂的价格；供应商收到很低的价格；社会从企业得到法定范围内最小的贡献；企业对环境保护的投资将最小化。一旦出现这些情况，势必招致其他利益相关者的抵制，其结果损害企业的市场形象和竞争地位，必然对目标销售和目标利润的实现产生阻力。</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4AACAF"/>
    <w:multiLevelType w:val="singleLevel"/>
    <w:tmpl w:val="894AACAF"/>
    <w:lvl w:ilvl="0" w:tentative="0">
      <w:start w:val="1"/>
      <w:numFmt w:val="decimal"/>
      <w:suff w:val="nothing"/>
      <w:lvlText w:val="%1、"/>
      <w:lvlJc w:val="left"/>
    </w:lvl>
  </w:abstractNum>
  <w:abstractNum w:abstractNumId="1">
    <w:nsid w:val="895F74AB"/>
    <w:multiLevelType w:val="singleLevel"/>
    <w:tmpl w:val="895F74AB"/>
    <w:lvl w:ilvl="0" w:tentative="0">
      <w:start w:val="1"/>
      <w:numFmt w:val="upperLetter"/>
      <w:lvlText w:val="%1."/>
      <w:lvlJc w:val="left"/>
      <w:pPr>
        <w:tabs>
          <w:tab w:val="left" w:pos="312"/>
        </w:tabs>
      </w:pPr>
    </w:lvl>
  </w:abstractNum>
  <w:abstractNum w:abstractNumId="2">
    <w:nsid w:val="8B43A9B0"/>
    <w:multiLevelType w:val="singleLevel"/>
    <w:tmpl w:val="8B43A9B0"/>
    <w:lvl w:ilvl="0" w:tentative="0">
      <w:start w:val="1"/>
      <w:numFmt w:val="upperLetter"/>
      <w:lvlText w:val="%1."/>
      <w:lvlJc w:val="left"/>
      <w:pPr>
        <w:tabs>
          <w:tab w:val="left" w:pos="312"/>
        </w:tabs>
      </w:pPr>
    </w:lvl>
  </w:abstractNum>
  <w:abstractNum w:abstractNumId="3">
    <w:nsid w:val="90B0861E"/>
    <w:multiLevelType w:val="singleLevel"/>
    <w:tmpl w:val="90B0861E"/>
    <w:lvl w:ilvl="0" w:tentative="0">
      <w:start w:val="1"/>
      <w:numFmt w:val="decimal"/>
      <w:suff w:val="nothing"/>
      <w:lvlText w:val="%1、"/>
      <w:lvlJc w:val="left"/>
    </w:lvl>
  </w:abstractNum>
  <w:abstractNum w:abstractNumId="4">
    <w:nsid w:val="9DA2E7EC"/>
    <w:multiLevelType w:val="singleLevel"/>
    <w:tmpl w:val="9DA2E7EC"/>
    <w:lvl w:ilvl="0" w:tentative="0">
      <w:start w:val="1"/>
      <w:numFmt w:val="chineseCounting"/>
      <w:suff w:val="nothing"/>
      <w:lvlText w:val="%1、"/>
      <w:lvlJc w:val="left"/>
      <w:rPr>
        <w:rFonts w:hint="eastAsia"/>
      </w:rPr>
    </w:lvl>
  </w:abstractNum>
  <w:abstractNum w:abstractNumId="5">
    <w:nsid w:val="A3B26A14"/>
    <w:multiLevelType w:val="singleLevel"/>
    <w:tmpl w:val="A3B26A14"/>
    <w:lvl w:ilvl="0" w:tentative="0">
      <w:start w:val="1"/>
      <w:numFmt w:val="upperLetter"/>
      <w:lvlText w:val="%1."/>
      <w:lvlJc w:val="left"/>
      <w:pPr>
        <w:tabs>
          <w:tab w:val="left" w:pos="312"/>
        </w:tabs>
      </w:pPr>
    </w:lvl>
  </w:abstractNum>
  <w:abstractNum w:abstractNumId="6">
    <w:nsid w:val="A3FB13A6"/>
    <w:multiLevelType w:val="singleLevel"/>
    <w:tmpl w:val="A3FB13A6"/>
    <w:lvl w:ilvl="0" w:tentative="0">
      <w:start w:val="1"/>
      <w:numFmt w:val="upperLetter"/>
      <w:lvlText w:val="%1."/>
      <w:lvlJc w:val="left"/>
      <w:pPr>
        <w:tabs>
          <w:tab w:val="left" w:pos="312"/>
        </w:tabs>
      </w:pPr>
    </w:lvl>
  </w:abstractNum>
  <w:abstractNum w:abstractNumId="7">
    <w:nsid w:val="A6A11675"/>
    <w:multiLevelType w:val="singleLevel"/>
    <w:tmpl w:val="A6A11675"/>
    <w:lvl w:ilvl="0" w:tentative="0">
      <w:start w:val="1"/>
      <w:numFmt w:val="upperLetter"/>
      <w:lvlText w:val="%1."/>
      <w:lvlJc w:val="left"/>
      <w:pPr>
        <w:tabs>
          <w:tab w:val="left" w:pos="312"/>
        </w:tabs>
      </w:pPr>
    </w:lvl>
  </w:abstractNum>
  <w:abstractNum w:abstractNumId="8">
    <w:nsid w:val="A7458EAD"/>
    <w:multiLevelType w:val="singleLevel"/>
    <w:tmpl w:val="A7458EAD"/>
    <w:lvl w:ilvl="0" w:tentative="0">
      <w:start w:val="1"/>
      <w:numFmt w:val="upperLetter"/>
      <w:lvlText w:val="%1."/>
      <w:lvlJc w:val="left"/>
      <w:pPr>
        <w:tabs>
          <w:tab w:val="left" w:pos="312"/>
        </w:tabs>
      </w:pPr>
    </w:lvl>
  </w:abstractNum>
  <w:abstractNum w:abstractNumId="9">
    <w:nsid w:val="C0FA9B36"/>
    <w:multiLevelType w:val="singleLevel"/>
    <w:tmpl w:val="C0FA9B36"/>
    <w:lvl w:ilvl="0" w:tentative="0">
      <w:start w:val="1"/>
      <w:numFmt w:val="upperLetter"/>
      <w:lvlText w:val="%1."/>
      <w:lvlJc w:val="left"/>
      <w:pPr>
        <w:tabs>
          <w:tab w:val="left" w:pos="312"/>
        </w:tabs>
      </w:pPr>
    </w:lvl>
  </w:abstractNum>
  <w:abstractNum w:abstractNumId="10">
    <w:nsid w:val="C96CF4D0"/>
    <w:multiLevelType w:val="singleLevel"/>
    <w:tmpl w:val="C96CF4D0"/>
    <w:lvl w:ilvl="0" w:tentative="0">
      <w:start w:val="1"/>
      <w:numFmt w:val="upperLetter"/>
      <w:lvlText w:val="%1."/>
      <w:lvlJc w:val="left"/>
      <w:pPr>
        <w:tabs>
          <w:tab w:val="left" w:pos="312"/>
        </w:tabs>
      </w:pPr>
    </w:lvl>
  </w:abstractNum>
  <w:abstractNum w:abstractNumId="11">
    <w:nsid w:val="CBCB3BAE"/>
    <w:multiLevelType w:val="singleLevel"/>
    <w:tmpl w:val="CBCB3BAE"/>
    <w:lvl w:ilvl="0" w:tentative="0">
      <w:start w:val="1"/>
      <w:numFmt w:val="upperLetter"/>
      <w:lvlText w:val="%1."/>
      <w:lvlJc w:val="left"/>
      <w:pPr>
        <w:tabs>
          <w:tab w:val="left" w:pos="312"/>
        </w:tabs>
      </w:pPr>
    </w:lvl>
  </w:abstractNum>
  <w:abstractNum w:abstractNumId="12">
    <w:nsid w:val="D6A52E38"/>
    <w:multiLevelType w:val="singleLevel"/>
    <w:tmpl w:val="D6A52E38"/>
    <w:lvl w:ilvl="0" w:tentative="0">
      <w:start w:val="1"/>
      <w:numFmt w:val="upperLetter"/>
      <w:lvlText w:val="%1."/>
      <w:lvlJc w:val="left"/>
      <w:pPr>
        <w:tabs>
          <w:tab w:val="left" w:pos="312"/>
        </w:tabs>
      </w:pPr>
    </w:lvl>
  </w:abstractNum>
  <w:abstractNum w:abstractNumId="13">
    <w:nsid w:val="D70192B6"/>
    <w:multiLevelType w:val="singleLevel"/>
    <w:tmpl w:val="D70192B6"/>
    <w:lvl w:ilvl="0" w:tentative="0">
      <w:start w:val="1"/>
      <w:numFmt w:val="upperLetter"/>
      <w:lvlText w:val="%1."/>
      <w:lvlJc w:val="left"/>
      <w:pPr>
        <w:tabs>
          <w:tab w:val="left" w:pos="312"/>
        </w:tabs>
      </w:pPr>
    </w:lvl>
  </w:abstractNum>
  <w:abstractNum w:abstractNumId="14">
    <w:nsid w:val="DA6F0134"/>
    <w:multiLevelType w:val="singleLevel"/>
    <w:tmpl w:val="DA6F0134"/>
    <w:lvl w:ilvl="0" w:tentative="0">
      <w:start w:val="1"/>
      <w:numFmt w:val="upperLetter"/>
      <w:lvlText w:val="%1."/>
      <w:lvlJc w:val="left"/>
      <w:pPr>
        <w:tabs>
          <w:tab w:val="left" w:pos="312"/>
        </w:tabs>
      </w:pPr>
    </w:lvl>
  </w:abstractNum>
  <w:abstractNum w:abstractNumId="15">
    <w:nsid w:val="F8E60ABB"/>
    <w:multiLevelType w:val="singleLevel"/>
    <w:tmpl w:val="F8E60ABB"/>
    <w:lvl w:ilvl="0" w:tentative="0">
      <w:start w:val="1"/>
      <w:numFmt w:val="upperLetter"/>
      <w:lvlText w:val="%1."/>
      <w:lvlJc w:val="left"/>
      <w:pPr>
        <w:tabs>
          <w:tab w:val="left" w:pos="312"/>
        </w:tabs>
      </w:pPr>
    </w:lvl>
  </w:abstractNum>
  <w:abstractNum w:abstractNumId="16">
    <w:nsid w:val="02987EBC"/>
    <w:multiLevelType w:val="singleLevel"/>
    <w:tmpl w:val="02987EBC"/>
    <w:lvl w:ilvl="0" w:tentative="0">
      <w:start w:val="1"/>
      <w:numFmt w:val="upperLetter"/>
      <w:lvlText w:val="%1."/>
      <w:lvlJc w:val="left"/>
      <w:pPr>
        <w:tabs>
          <w:tab w:val="left" w:pos="312"/>
        </w:tabs>
      </w:pPr>
    </w:lvl>
  </w:abstractNum>
  <w:abstractNum w:abstractNumId="17">
    <w:nsid w:val="0435E2FE"/>
    <w:multiLevelType w:val="singleLevel"/>
    <w:tmpl w:val="0435E2FE"/>
    <w:lvl w:ilvl="0" w:tentative="0">
      <w:start w:val="1"/>
      <w:numFmt w:val="upperLetter"/>
      <w:lvlText w:val="%1."/>
      <w:lvlJc w:val="left"/>
      <w:pPr>
        <w:tabs>
          <w:tab w:val="left" w:pos="312"/>
        </w:tabs>
      </w:pPr>
    </w:lvl>
  </w:abstractNum>
  <w:abstractNum w:abstractNumId="18">
    <w:nsid w:val="06FE5BD0"/>
    <w:multiLevelType w:val="singleLevel"/>
    <w:tmpl w:val="06FE5BD0"/>
    <w:lvl w:ilvl="0" w:tentative="0">
      <w:start w:val="1"/>
      <w:numFmt w:val="decimal"/>
      <w:suff w:val="nothing"/>
      <w:lvlText w:val="%1、"/>
      <w:lvlJc w:val="left"/>
    </w:lvl>
  </w:abstractNum>
  <w:abstractNum w:abstractNumId="19">
    <w:nsid w:val="08A4BA57"/>
    <w:multiLevelType w:val="singleLevel"/>
    <w:tmpl w:val="08A4BA57"/>
    <w:lvl w:ilvl="0" w:tentative="0">
      <w:start w:val="1"/>
      <w:numFmt w:val="upperLetter"/>
      <w:lvlText w:val="%1."/>
      <w:lvlJc w:val="left"/>
      <w:pPr>
        <w:tabs>
          <w:tab w:val="left" w:pos="312"/>
        </w:tabs>
      </w:pPr>
    </w:lvl>
  </w:abstractNum>
  <w:abstractNum w:abstractNumId="20">
    <w:nsid w:val="0ABDBB49"/>
    <w:multiLevelType w:val="singleLevel"/>
    <w:tmpl w:val="0ABDBB49"/>
    <w:lvl w:ilvl="0" w:tentative="0">
      <w:start w:val="1"/>
      <w:numFmt w:val="upperLetter"/>
      <w:lvlText w:val="%1."/>
      <w:lvlJc w:val="left"/>
      <w:pPr>
        <w:tabs>
          <w:tab w:val="left" w:pos="312"/>
        </w:tabs>
      </w:pPr>
    </w:lvl>
  </w:abstractNum>
  <w:abstractNum w:abstractNumId="21">
    <w:nsid w:val="0E6D0032"/>
    <w:multiLevelType w:val="singleLevel"/>
    <w:tmpl w:val="0E6D0032"/>
    <w:lvl w:ilvl="0" w:tentative="0">
      <w:start w:val="1"/>
      <w:numFmt w:val="upperLetter"/>
      <w:lvlText w:val="%1."/>
      <w:lvlJc w:val="left"/>
      <w:pPr>
        <w:tabs>
          <w:tab w:val="left" w:pos="312"/>
        </w:tabs>
      </w:pPr>
    </w:lvl>
  </w:abstractNum>
  <w:abstractNum w:abstractNumId="22">
    <w:nsid w:val="11B3ADA1"/>
    <w:multiLevelType w:val="singleLevel"/>
    <w:tmpl w:val="11B3ADA1"/>
    <w:lvl w:ilvl="0" w:tentative="0">
      <w:start w:val="1"/>
      <w:numFmt w:val="upperLetter"/>
      <w:lvlText w:val="%1."/>
      <w:lvlJc w:val="left"/>
      <w:pPr>
        <w:tabs>
          <w:tab w:val="left" w:pos="312"/>
        </w:tabs>
      </w:pPr>
    </w:lvl>
  </w:abstractNum>
  <w:abstractNum w:abstractNumId="23">
    <w:nsid w:val="128FF5E0"/>
    <w:multiLevelType w:val="singleLevel"/>
    <w:tmpl w:val="128FF5E0"/>
    <w:lvl w:ilvl="0" w:tentative="0">
      <w:start w:val="1"/>
      <w:numFmt w:val="upperLetter"/>
      <w:lvlText w:val="%1."/>
      <w:lvlJc w:val="left"/>
      <w:pPr>
        <w:tabs>
          <w:tab w:val="left" w:pos="312"/>
        </w:tabs>
      </w:pPr>
    </w:lvl>
  </w:abstractNum>
  <w:abstractNum w:abstractNumId="24">
    <w:nsid w:val="151BD02D"/>
    <w:multiLevelType w:val="singleLevel"/>
    <w:tmpl w:val="151BD02D"/>
    <w:lvl w:ilvl="0" w:tentative="0">
      <w:start w:val="1"/>
      <w:numFmt w:val="upperLetter"/>
      <w:lvlText w:val="%1."/>
      <w:lvlJc w:val="left"/>
      <w:pPr>
        <w:tabs>
          <w:tab w:val="left" w:pos="312"/>
        </w:tabs>
      </w:pPr>
    </w:lvl>
  </w:abstractNum>
  <w:abstractNum w:abstractNumId="25">
    <w:nsid w:val="1DCA648B"/>
    <w:multiLevelType w:val="singleLevel"/>
    <w:tmpl w:val="1DCA648B"/>
    <w:lvl w:ilvl="0" w:tentative="0">
      <w:start w:val="1"/>
      <w:numFmt w:val="upperLetter"/>
      <w:lvlText w:val="%1."/>
      <w:lvlJc w:val="left"/>
      <w:pPr>
        <w:tabs>
          <w:tab w:val="left" w:pos="312"/>
        </w:tabs>
      </w:pPr>
    </w:lvl>
  </w:abstractNum>
  <w:abstractNum w:abstractNumId="26">
    <w:nsid w:val="2C653BA7"/>
    <w:multiLevelType w:val="singleLevel"/>
    <w:tmpl w:val="2C653BA7"/>
    <w:lvl w:ilvl="0" w:tentative="0">
      <w:start w:val="1"/>
      <w:numFmt w:val="upperLetter"/>
      <w:lvlText w:val="%1."/>
      <w:lvlJc w:val="left"/>
      <w:pPr>
        <w:tabs>
          <w:tab w:val="left" w:pos="312"/>
        </w:tabs>
      </w:pPr>
    </w:lvl>
  </w:abstractNum>
  <w:abstractNum w:abstractNumId="27">
    <w:nsid w:val="2F6817E7"/>
    <w:multiLevelType w:val="singleLevel"/>
    <w:tmpl w:val="2F6817E7"/>
    <w:lvl w:ilvl="0" w:tentative="0">
      <w:start w:val="1"/>
      <w:numFmt w:val="upperLetter"/>
      <w:lvlText w:val="%1."/>
      <w:lvlJc w:val="left"/>
      <w:pPr>
        <w:tabs>
          <w:tab w:val="left" w:pos="312"/>
        </w:tabs>
      </w:pPr>
    </w:lvl>
  </w:abstractNum>
  <w:abstractNum w:abstractNumId="28">
    <w:nsid w:val="31D4879B"/>
    <w:multiLevelType w:val="singleLevel"/>
    <w:tmpl w:val="31D4879B"/>
    <w:lvl w:ilvl="0" w:tentative="0">
      <w:start w:val="1"/>
      <w:numFmt w:val="upperLetter"/>
      <w:lvlText w:val="%1."/>
      <w:lvlJc w:val="left"/>
      <w:pPr>
        <w:tabs>
          <w:tab w:val="left" w:pos="312"/>
        </w:tabs>
      </w:pPr>
    </w:lvl>
  </w:abstractNum>
  <w:abstractNum w:abstractNumId="29">
    <w:nsid w:val="32F686AE"/>
    <w:multiLevelType w:val="singleLevel"/>
    <w:tmpl w:val="32F686AE"/>
    <w:lvl w:ilvl="0" w:tentative="0">
      <w:start w:val="1"/>
      <w:numFmt w:val="decimal"/>
      <w:lvlText w:val="(%1)"/>
      <w:lvlJc w:val="left"/>
      <w:pPr>
        <w:tabs>
          <w:tab w:val="left" w:pos="312"/>
        </w:tabs>
      </w:pPr>
    </w:lvl>
  </w:abstractNum>
  <w:abstractNum w:abstractNumId="30">
    <w:nsid w:val="3737F02B"/>
    <w:multiLevelType w:val="singleLevel"/>
    <w:tmpl w:val="3737F02B"/>
    <w:lvl w:ilvl="0" w:tentative="0">
      <w:start w:val="1"/>
      <w:numFmt w:val="upperLetter"/>
      <w:lvlText w:val="%1."/>
      <w:lvlJc w:val="left"/>
      <w:pPr>
        <w:tabs>
          <w:tab w:val="left" w:pos="312"/>
        </w:tabs>
      </w:pPr>
    </w:lvl>
  </w:abstractNum>
  <w:abstractNum w:abstractNumId="31">
    <w:nsid w:val="3C61BF15"/>
    <w:multiLevelType w:val="singleLevel"/>
    <w:tmpl w:val="3C61BF15"/>
    <w:lvl w:ilvl="0" w:tentative="0">
      <w:start w:val="1"/>
      <w:numFmt w:val="upperLetter"/>
      <w:lvlText w:val="%1."/>
      <w:lvlJc w:val="left"/>
      <w:pPr>
        <w:tabs>
          <w:tab w:val="left" w:pos="312"/>
        </w:tabs>
      </w:pPr>
    </w:lvl>
  </w:abstractNum>
  <w:abstractNum w:abstractNumId="32">
    <w:nsid w:val="52B57C31"/>
    <w:multiLevelType w:val="singleLevel"/>
    <w:tmpl w:val="52B57C31"/>
    <w:lvl w:ilvl="0" w:tentative="0">
      <w:start w:val="1"/>
      <w:numFmt w:val="upperLetter"/>
      <w:lvlText w:val="%1."/>
      <w:lvlJc w:val="left"/>
      <w:pPr>
        <w:tabs>
          <w:tab w:val="left" w:pos="312"/>
        </w:tabs>
      </w:pPr>
    </w:lvl>
  </w:abstractNum>
  <w:abstractNum w:abstractNumId="33">
    <w:nsid w:val="5349B835"/>
    <w:multiLevelType w:val="singleLevel"/>
    <w:tmpl w:val="5349B835"/>
    <w:lvl w:ilvl="0" w:tentative="0">
      <w:start w:val="1"/>
      <w:numFmt w:val="decimal"/>
      <w:suff w:val="nothing"/>
      <w:lvlText w:val="%1、"/>
      <w:lvlJc w:val="left"/>
    </w:lvl>
  </w:abstractNum>
  <w:abstractNum w:abstractNumId="34">
    <w:nsid w:val="5604B03A"/>
    <w:multiLevelType w:val="singleLevel"/>
    <w:tmpl w:val="5604B03A"/>
    <w:lvl w:ilvl="0" w:tentative="0">
      <w:start w:val="1"/>
      <w:numFmt w:val="upperLetter"/>
      <w:lvlText w:val="%1."/>
      <w:lvlJc w:val="left"/>
      <w:pPr>
        <w:tabs>
          <w:tab w:val="left" w:pos="312"/>
        </w:tabs>
      </w:pPr>
    </w:lvl>
  </w:abstractNum>
  <w:abstractNum w:abstractNumId="35">
    <w:nsid w:val="5BECAB0D"/>
    <w:multiLevelType w:val="singleLevel"/>
    <w:tmpl w:val="5BECAB0D"/>
    <w:lvl w:ilvl="0" w:tentative="0">
      <w:start w:val="1"/>
      <w:numFmt w:val="upperLetter"/>
      <w:lvlText w:val="%1."/>
      <w:lvlJc w:val="left"/>
      <w:pPr>
        <w:tabs>
          <w:tab w:val="left" w:pos="312"/>
        </w:tabs>
      </w:pPr>
    </w:lvl>
  </w:abstractNum>
  <w:abstractNum w:abstractNumId="36">
    <w:nsid w:val="5F6022CA"/>
    <w:multiLevelType w:val="singleLevel"/>
    <w:tmpl w:val="5F6022CA"/>
    <w:lvl w:ilvl="0" w:tentative="0">
      <w:start w:val="1"/>
      <w:numFmt w:val="upperLetter"/>
      <w:lvlText w:val="%1."/>
      <w:lvlJc w:val="left"/>
      <w:pPr>
        <w:tabs>
          <w:tab w:val="left" w:pos="312"/>
        </w:tabs>
      </w:pPr>
    </w:lvl>
  </w:abstractNum>
  <w:abstractNum w:abstractNumId="37">
    <w:nsid w:val="65F7BCA9"/>
    <w:multiLevelType w:val="singleLevel"/>
    <w:tmpl w:val="65F7BCA9"/>
    <w:lvl w:ilvl="0" w:tentative="0">
      <w:start w:val="1"/>
      <w:numFmt w:val="upperLetter"/>
      <w:lvlText w:val="%1."/>
      <w:lvlJc w:val="left"/>
      <w:pPr>
        <w:tabs>
          <w:tab w:val="left" w:pos="312"/>
        </w:tabs>
      </w:pPr>
    </w:lvl>
  </w:abstractNum>
  <w:abstractNum w:abstractNumId="38">
    <w:nsid w:val="66067426"/>
    <w:multiLevelType w:val="singleLevel"/>
    <w:tmpl w:val="66067426"/>
    <w:lvl w:ilvl="0" w:tentative="0">
      <w:start w:val="1"/>
      <w:numFmt w:val="upperLetter"/>
      <w:lvlText w:val="%1."/>
      <w:lvlJc w:val="left"/>
      <w:pPr>
        <w:tabs>
          <w:tab w:val="left" w:pos="312"/>
        </w:tabs>
      </w:pPr>
    </w:lvl>
  </w:abstractNum>
  <w:abstractNum w:abstractNumId="39">
    <w:nsid w:val="782921A8"/>
    <w:multiLevelType w:val="singleLevel"/>
    <w:tmpl w:val="782921A8"/>
    <w:lvl w:ilvl="0" w:tentative="0">
      <w:start w:val="1"/>
      <w:numFmt w:val="upperLetter"/>
      <w:lvlText w:val="%1."/>
      <w:lvlJc w:val="left"/>
      <w:pPr>
        <w:tabs>
          <w:tab w:val="left" w:pos="312"/>
        </w:tabs>
      </w:pPr>
    </w:lvl>
  </w:abstractNum>
  <w:num w:numId="1">
    <w:abstractNumId w:val="4"/>
  </w:num>
  <w:num w:numId="2">
    <w:abstractNumId w:val="0"/>
  </w:num>
  <w:num w:numId="3">
    <w:abstractNumId w:val="6"/>
  </w:num>
  <w:num w:numId="4">
    <w:abstractNumId w:val="8"/>
  </w:num>
  <w:num w:numId="5">
    <w:abstractNumId w:val="23"/>
  </w:num>
  <w:num w:numId="6">
    <w:abstractNumId w:val="21"/>
  </w:num>
  <w:num w:numId="7">
    <w:abstractNumId w:val="2"/>
  </w:num>
  <w:num w:numId="8">
    <w:abstractNumId w:val="12"/>
  </w:num>
  <w:num w:numId="9">
    <w:abstractNumId w:val="32"/>
  </w:num>
  <w:num w:numId="10">
    <w:abstractNumId w:val="17"/>
  </w:num>
  <w:num w:numId="11">
    <w:abstractNumId w:val="9"/>
  </w:num>
  <w:num w:numId="12">
    <w:abstractNumId w:val="14"/>
  </w:num>
  <w:num w:numId="13">
    <w:abstractNumId w:val="7"/>
  </w:num>
  <w:num w:numId="14">
    <w:abstractNumId w:val="15"/>
  </w:num>
  <w:num w:numId="15">
    <w:abstractNumId w:val="11"/>
  </w:num>
  <w:num w:numId="16">
    <w:abstractNumId w:val="34"/>
  </w:num>
  <w:num w:numId="17">
    <w:abstractNumId w:val="28"/>
  </w:num>
  <w:num w:numId="18">
    <w:abstractNumId w:val="22"/>
  </w:num>
  <w:num w:numId="19">
    <w:abstractNumId w:val="1"/>
  </w:num>
  <w:num w:numId="20">
    <w:abstractNumId w:val="38"/>
  </w:num>
  <w:num w:numId="21">
    <w:abstractNumId w:val="37"/>
  </w:num>
  <w:num w:numId="22">
    <w:abstractNumId w:val="18"/>
  </w:num>
  <w:num w:numId="23">
    <w:abstractNumId w:val="30"/>
  </w:num>
  <w:num w:numId="24">
    <w:abstractNumId w:val="13"/>
  </w:num>
  <w:num w:numId="25">
    <w:abstractNumId w:val="36"/>
  </w:num>
  <w:num w:numId="26">
    <w:abstractNumId w:val="31"/>
  </w:num>
  <w:num w:numId="27">
    <w:abstractNumId w:val="16"/>
  </w:num>
  <w:num w:numId="28">
    <w:abstractNumId w:val="10"/>
  </w:num>
  <w:num w:numId="29">
    <w:abstractNumId w:val="25"/>
  </w:num>
  <w:num w:numId="30">
    <w:abstractNumId w:val="27"/>
  </w:num>
  <w:num w:numId="31">
    <w:abstractNumId w:val="19"/>
  </w:num>
  <w:num w:numId="32">
    <w:abstractNumId w:val="5"/>
  </w:num>
  <w:num w:numId="33">
    <w:abstractNumId w:val="39"/>
  </w:num>
  <w:num w:numId="34">
    <w:abstractNumId w:val="35"/>
  </w:num>
  <w:num w:numId="35">
    <w:abstractNumId w:val="24"/>
  </w:num>
  <w:num w:numId="36">
    <w:abstractNumId w:val="20"/>
  </w:num>
  <w:num w:numId="37">
    <w:abstractNumId w:val="26"/>
  </w:num>
  <w:num w:numId="38">
    <w:abstractNumId w:val="33"/>
  </w:num>
  <w:num w:numId="39">
    <w:abstractNumId w:val="3"/>
  </w:num>
  <w:num w:numId="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C518A7"/>
    <w:rsid w:val="70C518A7"/>
    <w:rsid w:val="753B4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2021-06-09T03:28:00Z</dcterms:created>
  <dc:creator>绿树橙荫</dc:creator>
  <cp:lastModifiedBy>绿树橙荫</cp:lastModifiedBy>
  <dcterms:modified xsi:type="dcterms:W3CDTF">2021-06-09T09:14:28Z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