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hAnsi="黑体" w:eastAsia="黑体"/>
          <w:b w:val="0"/>
          <w:bCs w:val="0"/>
          <w:sz w:val="44"/>
          <w:szCs w:val="44"/>
        </w:rPr>
      </w:pPr>
      <w:r>
        <w:rPr>
          <w:rFonts w:hint="eastAsia" w:ascii="黑体" w:hAnsi="黑体" w:eastAsia="黑体" w:cs="Times New Roman"/>
          <w:sz w:val="44"/>
          <w:szCs w:val="36"/>
        </w:rPr>
        <w:t>新余市成人教育中心201</w:t>
      </w:r>
      <w:r>
        <w:rPr>
          <w:rFonts w:hint="eastAsia" w:ascii="黑体" w:hAnsi="黑体" w:eastAsia="黑体" w:cs="Times New Roman"/>
          <w:sz w:val="44"/>
          <w:szCs w:val="36"/>
          <w:lang w:val="en-US" w:eastAsia="zh-CN"/>
        </w:rPr>
        <w:t>9</w:t>
      </w:r>
      <w:r>
        <w:rPr>
          <w:rFonts w:hint="eastAsia" w:ascii="黑体" w:hAnsi="黑体" w:eastAsia="黑体" w:cs="Times New Roman"/>
          <w:sz w:val="44"/>
          <w:szCs w:val="36"/>
        </w:rPr>
        <w:t>年</w:t>
      </w:r>
      <w:r>
        <w:rPr>
          <w:rFonts w:hint="eastAsia" w:ascii="黑体" w:hAnsi="黑体" w:eastAsia="黑体" w:cs="Times New Roman"/>
          <w:sz w:val="44"/>
          <w:szCs w:val="36"/>
          <w:lang w:eastAsia="zh-CN"/>
        </w:rPr>
        <w:t>度</w:t>
      </w:r>
      <w:r>
        <w:rPr>
          <w:rFonts w:hint="eastAsia" w:ascii="黑体" w:hAnsi="黑体" w:eastAsia="黑体" w:cs="Times New Roman"/>
          <w:sz w:val="44"/>
          <w:szCs w:val="36"/>
        </w:rPr>
        <w:t>部门决算</w:t>
      </w:r>
    </w:p>
    <w:p>
      <w:pPr>
        <w:spacing w:line="600" w:lineRule="exact"/>
        <w:jc w:val="center"/>
        <w:rPr>
          <w:rFonts w:hint="eastAsia" w:ascii="黑体" w:hAnsi="黑体" w:eastAsia="黑体" w:cs="黑体"/>
          <w:b w:val="0"/>
          <w:bCs w:val="0"/>
          <w:sz w:val="40"/>
          <w:szCs w:val="40"/>
        </w:rPr>
      </w:pPr>
    </w:p>
    <w:p>
      <w:pPr>
        <w:spacing w:line="600" w:lineRule="exact"/>
        <w:jc w:val="center"/>
        <w:rPr>
          <w:rFonts w:eastAsia="Times New Roman"/>
          <w:b w:val="0"/>
          <w:bCs w:val="0"/>
          <w:sz w:val="40"/>
          <w:szCs w:val="40"/>
        </w:rPr>
      </w:pPr>
      <w:r>
        <w:rPr>
          <w:rFonts w:hint="eastAsia" w:ascii="黑体" w:hAnsi="黑体" w:eastAsia="黑体" w:cs="黑体"/>
          <w:b w:val="0"/>
          <w:bCs w:val="0"/>
          <w:sz w:val="40"/>
          <w:szCs w:val="40"/>
        </w:rPr>
        <w:t>目</w:t>
      </w:r>
      <w:r>
        <w:rPr>
          <w:rFonts w:hint="eastAsia" w:ascii="黑体" w:hAnsi="黑体" w:eastAsia="黑体" w:cs="黑体"/>
          <w:b w:val="0"/>
          <w:bCs w:val="0"/>
          <w:sz w:val="40"/>
          <w:szCs w:val="40"/>
          <w:lang w:val="en-US" w:eastAsia="zh-CN"/>
        </w:rPr>
        <w:t xml:space="preserve">   </w:t>
      </w:r>
      <w:r>
        <w:rPr>
          <w:rFonts w:hint="eastAsia" w:ascii="黑体" w:hAnsi="黑体" w:eastAsia="黑体" w:cs="黑体"/>
          <w:b w:val="0"/>
          <w:bCs w:val="0"/>
          <w:sz w:val="40"/>
          <w:szCs w:val="40"/>
        </w:rPr>
        <w:t>录</w:t>
      </w:r>
    </w:p>
    <w:p>
      <w:pPr>
        <w:spacing w:line="600" w:lineRule="exact"/>
        <w:ind w:firstLine="640"/>
        <w:jc w:val="left"/>
        <w:rPr>
          <w:rFonts w:eastAsia="Times New Roman"/>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1"/>
        <w:jc w:val="left"/>
        <w:textAlignment w:val="auto"/>
        <w:rPr>
          <w:rFonts w:hint="eastAsia" w:ascii="黑体" w:hAnsi="黑体" w:eastAsia="黑体" w:cs="Times New Roman"/>
          <w:sz w:val="32"/>
          <w:szCs w:val="32"/>
        </w:rPr>
      </w:pPr>
      <w:r>
        <w:rPr>
          <w:rFonts w:hint="eastAsia" w:ascii="黑体" w:hAnsi="黑体" w:eastAsia="黑体" w:cs="Times New Roman"/>
          <w:sz w:val="32"/>
          <w:szCs w:val="32"/>
        </w:rPr>
        <w:t>第一部分</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新余市成人教育中心部门概况</w:t>
      </w:r>
    </w:p>
    <w:p>
      <w:pPr>
        <w:keepNext w:val="0"/>
        <w:keepLines w:val="0"/>
        <w:pageBreakBefore w:val="0"/>
        <w:widowControl/>
        <w:kinsoku/>
        <w:wordWrap/>
        <w:overflowPunct/>
        <w:topLinePunct w:val="0"/>
        <w:autoSpaceDE/>
        <w:autoSpaceDN/>
        <w:bidi w:val="0"/>
        <w:adjustRightInd/>
        <w:snapToGrid/>
        <w:spacing w:line="600" w:lineRule="exact"/>
        <w:ind w:firstLine="1296" w:firstLineChars="405"/>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1296" w:firstLineChars="405"/>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二、部门基本情况</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ascii="黑体" w:hAnsi="黑体" w:eastAsia="黑体"/>
          <w:b/>
          <w:bCs/>
          <w:sz w:val="32"/>
          <w:szCs w:val="32"/>
        </w:rPr>
      </w:pPr>
      <w:r>
        <w:rPr>
          <w:rFonts w:hint="eastAsia" w:ascii="黑体" w:hAnsi="黑体" w:eastAsia="黑体" w:cs="Times New Roman"/>
          <w:sz w:val="32"/>
          <w:szCs w:val="32"/>
        </w:rPr>
        <w:t xml:space="preserve">第二部分 </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201</w:t>
      </w:r>
      <w:r>
        <w:rPr>
          <w:rFonts w:hint="eastAsia" w:ascii="黑体" w:hAnsi="黑体" w:eastAsia="黑体" w:cs="Times New Roman"/>
          <w:sz w:val="32"/>
          <w:szCs w:val="32"/>
          <w:lang w:val="en-US" w:eastAsia="zh-CN"/>
        </w:rPr>
        <w:t>9</w:t>
      </w:r>
      <w:r>
        <w:rPr>
          <w:rFonts w:hint="eastAsia" w:ascii="黑体" w:hAnsi="黑体" w:eastAsia="黑体" w:cs="Times New Roman"/>
          <w:sz w:val="32"/>
          <w:szCs w:val="32"/>
        </w:rPr>
        <w:t>年</w:t>
      </w:r>
      <w:r>
        <w:rPr>
          <w:rFonts w:hint="eastAsia" w:ascii="黑体" w:hAnsi="黑体" w:eastAsia="黑体" w:cs="Times New Roman"/>
          <w:sz w:val="32"/>
          <w:szCs w:val="32"/>
          <w:lang w:eastAsia="zh-CN"/>
        </w:rPr>
        <w:t>度</w:t>
      </w:r>
      <w:r>
        <w:rPr>
          <w:rFonts w:hint="eastAsia" w:ascii="黑体" w:hAnsi="黑体" w:eastAsia="黑体" w:cs="Times New Roman"/>
          <w:sz w:val="32"/>
          <w:szCs w:val="32"/>
        </w:rPr>
        <w:t>部门决算表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一、收入支出决算总表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二、收入决算表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三、支出决算表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四、财政拨款收入支出决算总表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五、一般公共预算财政拨款支出决算表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六、一般公共预算财政拨款基本支出决算表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七、一般公共预算财政拨款“三公”经费支出决算表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九、国有资产占用情况表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 xml:space="preserve">第三部分 </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201</w:t>
      </w: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年</w:t>
      </w:r>
      <w:r>
        <w:rPr>
          <w:rFonts w:hint="eastAsia" w:ascii="黑体" w:hAnsi="黑体" w:eastAsia="黑体" w:cs="黑体"/>
          <w:kern w:val="0"/>
          <w:sz w:val="32"/>
          <w:szCs w:val="32"/>
          <w:lang w:eastAsia="zh-CN"/>
        </w:rPr>
        <w:t>度</w:t>
      </w:r>
      <w:r>
        <w:rPr>
          <w:rFonts w:hint="eastAsia" w:ascii="黑体" w:hAnsi="黑体" w:eastAsia="黑体" w:cs="黑体"/>
          <w:kern w:val="0"/>
          <w:sz w:val="32"/>
          <w:szCs w:val="32"/>
        </w:rPr>
        <w:t>部门决算情况说明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一、收入决算情况说明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二、支出决算情况说明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三、财政拨款支出决算情况说明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四、一般公共预算财政拨款基本基础决算情况说明</w:t>
      </w:r>
    </w:p>
    <w:p>
      <w:pPr>
        <w:keepNext w:val="0"/>
        <w:keepLines w:val="0"/>
        <w:pageBreakBefore w:val="0"/>
        <w:widowControl/>
        <w:kinsoku/>
        <w:wordWrap/>
        <w:overflowPunct/>
        <w:topLinePunct w:val="0"/>
        <w:autoSpaceDE/>
        <w:autoSpaceDN/>
        <w:bidi w:val="0"/>
        <w:adjustRightInd/>
        <w:snapToGrid/>
        <w:spacing w:line="600" w:lineRule="exact"/>
        <w:ind w:left="638" w:leftChars="304" w:firstLine="640" w:firstLineChars="2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五、一般公共预算财政拨款“三公”经费支出决算情况说明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六、机关运行经费</w:t>
      </w:r>
      <w:r>
        <w:rPr>
          <w:rFonts w:hint="eastAsia" w:ascii="仿宋" w:hAnsi="仿宋" w:eastAsia="仿宋" w:cs="Times New Roman"/>
          <w:sz w:val="32"/>
          <w:szCs w:val="30"/>
          <w:lang w:eastAsia="zh-CN"/>
        </w:rPr>
        <w:t>支出</w:t>
      </w:r>
      <w:r>
        <w:rPr>
          <w:rFonts w:hint="eastAsia" w:ascii="仿宋" w:hAnsi="仿宋" w:eastAsia="仿宋" w:cs="Times New Roman"/>
          <w:sz w:val="32"/>
          <w:szCs w:val="30"/>
        </w:rPr>
        <w:t>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七、政府采购支出情况说明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八、政府性基金预算财政拨款收入支出决算说明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九、国有资产占用情况说明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1280" w:firstLineChars="400"/>
        <w:jc w:val="left"/>
        <w:textAlignment w:val="auto"/>
        <w:rPr>
          <w:rFonts w:hint="eastAsia" w:ascii="仿宋" w:hAnsi="仿宋" w:eastAsia="仿宋" w:cs="Times New Roman"/>
          <w:sz w:val="32"/>
          <w:szCs w:val="30"/>
        </w:rPr>
      </w:pPr>
      <w:r>
        <w:rPr>
          <w:rFonts w:hint="eastAsia" w:ascii="仿宋" w:hAnsi="仿宋" w:eastAsia="仿宋" w:cs="Times New Roman"/>
          <w:sz w:val="32"/>
          <w:szCs w:val="30"/>
        </w:rPr>
        <w:t>十、预算绩效情况说明</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黑体" w:hAnsi="黑体" w:eastAsia="黑体" w:cs="黑体"/>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Times New Roman"/>
          <w:sz w:val="28"/>
          <w:szCs w:val="28"/>
        </w:rPr>
      </w:pPr>
    </w:p>
    <w:p>
      <w:pPr>
        <w:spacing w:line="600" w:lineRule="exact"/>
        <w:jc w:val="center"/>
        <w:rPr>
          <w:rFonts w:eastAsia="Times New Roman"/>
          <w:sz w:val="28"/>
          <w:szCs w:val="28"/>
        </w:rPr>
      </w:pPr>
    </w:p>
    <w:p>
      <w:pPr>
        <w:spacing w:line="600" w:lineRule="exact"/>
        <w:jc w:val="center"/>
        <w:rPr>
          <w:rFonts w:eastAsia="Times New Roman"/>
          <w:sz w:val="36"/>
          <w:szCs w:val="36"/>
        </w:rPr>
      </w:pPr>
    </w:p>
    <w:p>
      <w:pPr>
        <w:spacing w:line="600" w:lineRule="exact"/>
        <w:jc w:val="center"/>
        <w:rPr>
          <w:rFonts w:eastAsia="Times New Roman"/>
          <w:sz w:val="36"/>
          <w:szCs w:val="36"/>
        </w:rPr>
      </w:pPr>
    </w:p>
    <w:p>
      <w:pPr>
        <w:spacing w:line="600" w:lineRule="exact"/>
        <w:jc w:val="center"/>
        <w:rPr>
          <w:rFonts w:eastAsia="Times New Roman"/>
          <w:sz w:val="36"/>
          <w:szCs w:val="36"/>
        </w:rPr>
      </w:pPr>
    </w:p>
    <w:p>
      <w:pPr>
        <w:spacing w:line="600" w:lineRule="exact"/>
        <w:jc w:val="center"/>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36"/>
          <w:szCs w:val="36"/>
        </w:rPr>
      </w:pPr>
    </w:p>
    <w:p>
      <w:pPr>
        <w:spacing w:line="600" w:lineRule="exact"/>
        <w:rPr>
          <w:rFonts w:eastAsia="Times New Roman"/>
          <w:sz w:val="44"/>
          <w:szCs w:val="44"/>
        </w:rPr>
      </w:pPr>
    </w:p>
    <w:p>
      <w:pPr>
        <w:widowControl/>
        <w:spacing w:line="580" w:lineRule="exact"/>
        <w:jc w:val="center"/>
        <w:rPr>
          <w:rFonts w:hint="eastAsia" w:ascii="宋体" w:hAnsi="宋体" w:eastAsia="宋体" w:cs="Times New Roman"/>
          <w:b/>
          <w:sz w:val="32"/>
          <w:szCs w:val="30"/>
        </w:rPr>
      </w:pPr>
      <w:r>
        <w:rPr>
          <w:rFonts w:hint="eastAsia" w:ascii="宋体" w:hAnsi="宋体" w:eastAsia="宋体" w:cs="Times New Roman"/>
          <w:b/>
          <w:sz w:val="32"/>
          <w:szCs w:val="30"/>
        </w:rPr>
        <w:t>第一部分</w:t>
      </w:r>
      <w:r>
        <w:rPr>
          <w:rFonts w:hint="eastAsia" w:ascii="宋体" w:hAnsi="宋体" w:eastAsia="宋体" w:cs="Times New Roman"/>
          <w:b/>
          <w:sz w:val="32"/>
          <w:szCs w:val="30"/>
          <w:lang w:val="en-US" w:eastAsia="zh-CN"/>
        </w:rPr>
        <w:t xml:space="preserve">  </w:t>
      </w:r>
      <w:r>
        <w:rPr>
          <w:rFonts w:hint="eastAsia" w:ascii="宋体" w:hAnsi="宋体" w:eastAsia="宋体" w:cs="Times New Roman"/>
          <w:b/>
          <w:sz w:val="32"/>
          <w:szCs w:val="30"/>
        </w:rPr>
        <w:t>部门概况</w:t>
      </w:r>
    </w:p>
    <w:p>
      <w:pPr>
        <w:spacing w:line="360" w:lineRule="auto"/>
        <w:ind w:firstLine="630"/>
        <w:jc w:val="center"/>
        <w:rPr>
          <w:rFonts w:ascii="新宋体" w:hAnsi="新宋体" w:eastAsia="新宋体"/>
          <w:sz w:val="28"/>
          <w:szCs w:val="28"/>
        </w:rPr>
      </w:pPr>
    </w:p>
    <w:p>
      <w:pPr>
        <w:numPr>
          <w:ilvl w:val="0"/>
          <w:numId w:val="1"/>
        </w:numPr>
        <w:spacing w:line="360" w:lineRule="auto"/>
        <w:ind w:firstLine="630"/>
        <w:jc w:val="left"/>
        <w:rPr>
          <w:rFonts w:ascii="黑体" w:hAnsi="黑体" w:eastAsia="黑体"/>
          <w:sz w:val="30"/>
          <w:szCs w:val="30"/>
        </w:rPr>
      </w:pPr>
      <w:r>
        <w:rPr>
          <w:rFonts w:hint="eastAsia" w:ascii="黑体" w:hAnsi="黑体" w:eastAsia="黑体" w:cs="黑体"/>
          <w:sz w:val="30"/>
          <w:szCs w:val="30"/>
        </w:rPr>
        <w:t>部门主要职能</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新余市成人教育中心（江西广播电视大学新余市分校）负责统筹、规划、协调、实施全市各级各类成人教育；构建我市现代远程教育、继续教育、终生教育体系；开展广播电视大学学历教育和非学历教育工作；承担全市社区大学继续教育工作；承担新余市农民实用技术和转移性培训工作；承担原市财校、市商校、市财校的教育工作职能；开展城市社区教育工作；完成（承担）上级主管部门赋予的成人教育及其他工作。</w:t>
      </w:r>
    </w:p>
    <w:p>
      <w:pPr>
        <w:spacing w:line="360" w:lineRule="auto"/>
        <w:ind w:firstLine="645"/>
        <w:rPr>
          <w:rFonts w:ascii="宋体"/>
          <w:kern w:val="1"/>
          <w:sz w:val="28"/>
          <w:szCs w:val="28"/>
        </w:rPr>
      </w:pPr>
    </w:p>
    <w:p>
      <w:pPr>
        <w:numPr>
          <w:ilvl w:val="0"/>
          <w:numId w:val="1"/>
        </w:numPr>
        <w:spacing w:line="360" w:lineRule="auto"/>
        <w:ind w:firstLine="630"/>
        <w:jc w:val="left"/>
        <w:rPr>
          <w:rFonts w:ascii="黑体" w:hAnsi="黑体" w:eastAsia="黑体"/>
          <w:sz w:val="30"/>
          <w:szCs w:val="30"/>
        </w:rPr>
      </w:pPr>
      <w:r>
        <w:rPr>
          <w:rFonts w:hint="eastAsia" w:ascii="黑体" w:hAnsi="黑体" w:eastAsia="黑体" w:cs="黑体"/>
          <w:sz w:val="30"/>
          <w:szCs w:val="30"/>
        </w:rPr>
        <w:t>部门基本情况</w:t>
      </w:r>
    </w:p>
    <w:p>
      <w:pPr>
        <w:widowControl w:val="0"/>
        <w:ind w:firstLine="630"/>
        <w:jc w:val="left"/>
        <w:rPr>
          <w:rFonts w:hint="eastAsia" w:ascii="仿宋" w:hAnsi="仿宋" w:eastAsia="仿宋" w:cs="Times New Roman"/>
          <w:sz w:val="30"/>
          <w:szCs w:val="30"/>
          <w:lang w:eastAsia="zh-CN"/>
        </w:rPr>
      </w:pPr>
      <w:r>
        <w:rPr>
          <w:rFonts w:hint="eastAsia" w:ascii="仿宋" w:hAnsi="仿宋" w:eastAsia="仿宋" w:cs="Times New Roman"/>
          <w:sz w:val="30"/>
          <w:szCs w:val="30"/>
        </w:rPr>
        <w:t>新余市成人教育中心（江西广播电视大学新余市分校）是根据余编字[2001]16号文确定的为市政府直属正县级全额拨款事业单位，实行两块牌子一套人马，业务上归口市教育局指导；内设党政办公室、教务处、总务处、招生办公室、网络教育处、培训教育处、信息技术处、社区大学办公室共8个正科级职能管理机构。纳入本套部门决算汇编范围的单位共1个，核定人员编制44名，年末实有人数6</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rPr>
        <w:t>人，其中在职在岗教职工37人，离岗创业1人，退休人员2</w:t>
      </w:r>
      <w:r>
        <w:rPr>
          <w:rFonts w:hint="eastAsia" w:ascii="仿宋" w:hAnsi="仿宋" w:eastAsia="仿宋" w:cs="Times New Roman"/>
          <w:sz w:val="30"/>
          <w:szCs w:val="30"/>
          <w:lang w:val="en-US" w:eastAsia="zh-CN"/>
        </w:rPr>
        <w:t>6</w:t>
      </w:r>
      <w:r>
        <w:rPr>
          <w:rFonts w:hint="eastAsia" w:ascii="仿宋" w:hAnsi="仿宋" w:eastAsia="仿宋" w:cs="Times New Roman"/>
          <w:sz w:val="30"/>
          <w:szCs w:val="30"/>
        </w:rPr>
        <w:t>人</w:t>
      </w:r>
      <w:r>
        <w:rPr>
          <w:rFonts w:hint="eastAsia" w:ascii="仿宋" w:hAnsi="仿宋" w:eastAsia="仿宋" w:cs="Times New Roman"/>
          <w:sz w:val="30"/>
          <w:szCs w:val="30"/>
          <w:lang w:val="en-US" w:eastAsia="zh-CN"/>
        </w:rPr>
        <w:t>; 年末</w:t>
      </w:r>
      <w:r>
        <w:rPr>
          <w:rFonts w:hint="eastAsia" w:ascii="仿宋" w:hAnsi="仿宋" w:eastAsia="仿宋" w:cs="Times New Roman"/>
          <w:sz w:val="30"/>
          <w:szCs w:val="30"/>
          <w:lang w:eastAsia="zh-CN"/>
        </w:rPr>
        <w:t>遗属补助人员</w:t>
      </w:r>
      <w:r>
        <w:rPr>
          <w:rFonts w:hint="eastAsia" w:ascii="仿宋" w:hAnsi="仿宋" w:eastAsia="仿宋" w:cs="Times New Roman"/>
          <w:sz w:val="30"/>
          <w:szCs w:val="30"/>
          <w:lang w:val="en-US" w:eastAsia="zh-CN"/>
        </w:rPr>
        <w:t>2人</w:t>
      </w:r>
      <w:r>
        <w:rPr>
          <w:rFonts w:hint="eastAsia" w:ascii="仿宋" w:hAnsi="仿宋" w:eastAsia="仿宋" w:cs="Times New Roman"/>
          <w:sz w:val="30"/>
          <w:szCs w:val="30"/>
        </w:rPr>
        <w:t>；年末在校学生58</w:t>
      </w:r>
      <w:r>
        <w:rPr>
          <w:rFonts w:hint="eastAsia" w:ascii="仿宋" w:hAnsi="仿宋" w:eastAsia="仿宋" w:cs="Times New Roman"/>
          <w:sz w:val="30"/>
          <w:szCs w:val="30"/>
          <w:lang w:val="en-US" w:eastAsia="zh-CN"/>
        </w:rPr>
        <w:t>06</w:t>
      </w:r>
      <w:r>
        <w:rPr>
          <w:rFonts w:hint="eastAsia" w:ascii="仿宋" w:hAnsi="仿宋" w:eastAsia="仿宋" w:cs="Times New Roman"/>
          <w:sz w:val="30"/>
          <w:szCs w:val="30"/>
        </w:rPr>
        <w:t>人。</w:t>
      </w:r>
    </w:p>
    <w:p>
      <w:pPr>
        <w:spacing w:line="360" w:lineRule="auto"/>
        <w:rPr>
          <w:rFonts w:hint="eastAsia" w:ascii="宋体" w:hAnsi="宋体" w:cs="宋体"/>
          <w:kern w:val="1"/>
          <w:sz w:val="28"/>
          <w:szCs w:val="28"/>
        </w:rPr>
      </w:pPr>
    </w:p>
    <w:p>
      <w:pPr>
        <w:spacing w:line="360" w:lineRule="auto"/>
        <w:rPr>
          <w:rFonts w:hint="eastAsia" w:ascii="宋体" w:hAnsi="宋体" w:cs="宋体"/>
          <w:kern w:val="1"/>
          <w:sz w:val="28"/>
          <w:szCs w:val="28"/>
        </w:rPr>
      </w:pPr>
    </w:p>
    <w:p>
      <w:pPr>
        <w:spacing w:line="360" w:lineRule="auto"/>
        <w:rPr>
          <w:rFonts w:hint="eastAsia" w:ascii="宋体" w:hAnsi="宋体" w:cs="宋体"/>
          <w:kern w:val="1"/>
          <w:sz w:val="28"/>
          <w:szCs w:val="28"/>
        </w:rPr>
      </w:pPr>
    </w:p>
    <w:p>
      <w:pPr>
        <w:spacing w:line="360" w:lineRule="auto"/>
        <w:rPr>
          <w:rFonts w:hint="eastAsia" w:ascii="宋体" w:hAnsi="宋体" w:cs="宋体"/>
          <w:kern w:val="1"/>
          <w:sz w:val="28"/>
          <w:szCs w:val="28"/>
        </w:rPr>
      </w:pPr>
    </w:p>
    <w:p>
      <w:pPr>
        <w:spacing w:line="360" w:lineRule="auto"/>
        <w:ind w:firstLine="560" w:firstLineChars="200"/>
        <w:rPr>
          <w:rFonts w:hint="eastAsia" w:ascii="宋体" w:hAnsi="宋体" w:cs="宋体"/>
          <w:kern w:val="1"/>
          <w:sz w:val="28"/>
          <w:szCs w:val="28"/>
        </w:rPr>
      </w:pPr>
    </w:p>
    <w:p>
      <w:pPr>
        <w:numPr>
          <w:numId w:val="0"/>
        </w:numPr>
        <w:spacing w:line="360" w:lineRule="auto"/>
        <w:jc w:val="center"/>
        <w:rPr>
          <w:rFonts w:hint="eastAsia" w:ascii="宋体" w:hAnsi="宋体" w:eastAsia="宋体" w:cs="宋体"/>
          <w:b/>
          <w:bCs/>
          <w:sz w:val="32"/>
          <w:szCs w:val="32"/>
        </w:rPr>
      </w:pPr>
      <w:r>
        <w:rPr>
          <w:rFonts w:hint="eastAsia" w:ascii="宋体" w:hAnsi="宋体"/>
          <w:b/>
          <w:sz w:val="32"/>
          <w:szCs w:val="32"/>
        </w:rPr>
        <w:t>第二部分</w:t>
      </w:r>
      <w:r>
        <w:rPr>
          <w:rFonts w:hint="eastAsia" w:ascii="宋体" w:hAnsi="宋体"/>
          <w:b/>
          <w:sz w:val="32"/>
          <w:szCs w:val="32"/>
          <w:lang w:val="en-US" w:eastAsia="zh-CN"/>
        </w:rPr>
        <w:t xml:space="preserve">  </w:t>
      </w:r>
      <w:r>
        <w:rPr>
          <w:rFonts w:hint="eastAsia" w:ascii="宋体" w:hAnsi="宋体" w:eastAsia="宋体" w:cs="宋体"/>
          <w:b/>
          <w:bCs/>
          <w:sz w:val="32"/>
          <w:szCs w:val="32"/>
        </w:rPr>
        <w:t>201</w:t>
      </w:r>
      <w:r>
        <w:rPr>
          <w:rFonts w:hint="eastAsia" w:ascii="宋体" w:hAnsi="宋体" w:cs="宋体"/>
          <w:b/>
          <w:bCs/>
          <w:sz w:val="32"/>
          <w:szCs w:val="32"/>
          <w:lang w:val="en-US" w:eastAsia="zh-CN"/>
        </w:rPr>
        <w:t>9</w:t>
      </w:r>
      <w:r>
        <w:rPr>
          <w:rFonts w:hint="eastAsia" w:ascii="宋体" w:hAnsi="宋体" w:eastAsia="宋体" w:cs="宋体"/>
          <w:b/>
          <w:bCs/>
          <w:sz w:val="32"/>
          <w:szCs w:val="32"/>
        </w:rPr>
        <w:t>年</w:t>
      </w:r>
      <w:r>
        <w:rPr>
          <w:rFonts w:hint="eastAsia" w:ascii="宋体" w:hAnsi="宋体" w:cs="宋体"/>
          <w:b/>
          <w:bCs/>
          <w:sz w:val="32"/>
          <w:szCs w:val="32"/>
          <w:lang w:eastAsia="zh-CN"/>
        </w:rPr>
        <w:t>度</w:t>
      </w:r>
      <w:r>
        <w:rPr>
          <w:rFonts w:hint="eastAsia" w:ascii="宋体" w:hAnsi="宋体" w:eastAsia="宋体" w:cs="宋体"/>
          <w:b/>
          <w:bCs/>
          <w:sz w:val="32"/>
          <w:szCs w:val="32"/>
        </w:rPr>
        <w:t>部门决算表</w:t>
      </w:r>
    </w:p>
    <w:p>
      <w:pPr>
        <w:numPr>
          <w:ilvl w:val="0"/>
          <w:numId w:val="0"/>
        </w:numPr>
        <w:spacing w:line="360" w:lineRule="auto"/>
        <w:jc w:val="both"/>
        <w:rPr>
          <w:rFonts w:hint="eastAsia" w:ascii="宋体" w:hAnsi="宋体" w:eastAsia="宋体" w:cs="宋体"/>
          <w:b/>
          <w:bCs/>
          <w:sz w:val="32"/>
          <w:szCs w:val="32"/>
        </w:rPr>
      </w:pPr>
      <w:r>
        <w:rPr>
          <w:rFonts w:hint="eastAsia" w:ascii="新宋体" w:hAnsi="新宋体" w:eastAsia="新宋体"/>
          <w:sz w:val="28"/>
          <w:szCs w:val="28"/>
          <w:lang w:eastAsia="zh-CN"/>
        </w:rPr>
        <w:object>
          <v:shape id="_x0000_i1025" o:spt="75" type="#_x0000_t75" style="height:471.45pt;width:419.9pt;" o:ole="t" filled="f" o:preferrelative="t" stroked="f" coordsize="21600,21600">
            <v:path/>
            <v:fill on="f" focussize="0,0"/>
            <v:stroke on="f"/>
            <v:imagedata r:id="rId7" o:title=""/>
            <o:lock v:ext="edit" aspectratio="f"/>
            <w10:wrap type="none"/>
            <w10:anchorlock/>
          </v:shape>
          <o:OLEObject Type="Embed" ProgID="" ShapeID="_x0000_i1025" DrawAspect="Content" ObjectID="_1468075725" r:id="rId6">
            <o:LockedField>false</o:LockedField>
          </o:OLEObject>
        </w:object>
      </w:r>
    </w:p>
    <w:p>
      <w:pPr>
        <w:spacing w:line="360" w:lineRule="auto"/>
        <w:ind w:firstLine="643" w:firstLineChars="200"/>
        <w:jc w:val="center"/>
        <w:rPr>
          <w:rFonts w:hint="eastAsia" w:ascii="宋体" w:hAnsi="宋体" w:eastAsia="宋体" w:cs="宋体"/>
          <w:b/>
          <w:bCs/>
          <w:sz w:val="32"/>
          <w:szCs w:val="32"/>
        </w:rPr>
      </w:pPr>
    </w:p>
    <w:p>
      <w:pPr>
        <w:spacing w:line="360" w:lineRule="auto"/>
        <w:jc w:val="left"/>
        <w:rPr>
          <w:rFonts w:hint="eastAsia" w:ascii="新宋体" w:hAnsi="新宋体" w:eastAsia="新宋体"/>
          <w:sz w:val="28"/>
          <w:szCs w:val="28"/>
          <w:lang w:eastAsia="zh-CN"/>
        </w:rPr>
      </w:pPr>
    </w:p>
    <w:p>
      <w:pPr>
        <w:spacing w:line="360" w:lineRule="auto"/>
        <w:jc w:val="left"/>
        <w:rPr>
          <w:rFonts w:hint="eastAsia" w:ascii="新宋体" w:hAnsi="新宋体" w:eastAsia="新宋体"/>
          <w:sz w:val="28"/>
          <w:szCs w:val="28"/>
          <w:lang w:eastAsia="zh-CN"/>
        </w:rPr>
      </w:pP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26" o:spt="75" type="#_x0000_t75" style="height:268.85pt;width:464.5pt;" o:ole="t" filled="f" o:preferrelative="t" stroked="f" coordsize="21600,21600">
            <v:path/>
            <v:fill on="f" focussize="0,0"/>
            <v:stroke on="f"/>
            <v:imagedata r:id="rId9" o:title=""/>
            <o:lock v:ext="edit" aspectratio="f"/>
            <w10:wrap type="none"/>
            <w10:anchorlock/>
          </v:shape>
          <o:OLEObject Type="Embed" ProgID="" ShapeID="_x0000_i1026" DrawAspect="Content" ObjectID="_1468075726" r:id="rId8">
            <o:LockedField>false</o:LockedField>
          </o:OLEObject>
        </w:object>
      </w: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27" o:spt="75" type="#_x0000_t75" style="height:298.95pt;width:468.85pt;" o:ole="t" filled="f" o:preferrelative="t" stroked="f" coordsize="21600,21600">
            <v:path/>
            <v:fill on="f" focussize="0,0"/>
            <v:stroke on="f"/>
            <v:imagedata r:id="rId11" o:title=""/>
            <o:lock v:ext="edit" aspectratio="f"/>
            <w10:wrap type="none"/>
            <w10:anchorlock/>
          </v:shape>
          <o:OLEObject Type="Embed" ProgID="" ShapeID="_x0000_i1027" DrawAspect="Content" ObjectID="_1468075727" r:id="rId10">
            <o:LockedField>false</o:LockedField>
          </o:OLEObject>
        </w:object>
      </w: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28" o:spt="75" type="#_x0000_t75" style="height:429.7pt;width:474.95pt;" o:ole="t" filled="f" o:preferrelative="t" stroked="f" coordsize="21600,21600">
            <v:path/>
            <v:fill on="f" focussize="0,0"/>
            <v:stroke on="f"/>
            <v:imagedata r:id="rId13" o:title=""/>
            <o:lock v:ext="edit" aspectratio="f"/>
            <w10:wrap type="none"/>
            <w10:anchorlock/>
          </v:shape>
          <o:OLEObject Type="Embed" ProgID="" ShapeID="_x0000_i1028" DrawAspect="Content" ObjectID="_1468075728" r:id="rId12">
            <o:LockedField>false</o:LockedField>
          </o:OLEObject>
        </w:object>
      </w: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29" o:spt="75" type="#_x0000_t75" style="height:284.95pt;width:450.6pt;" o:ole="t" filled="f" o:preferrelative="t" stroked="f" coordsize="21600,21600">
            <v:path/>
            <v:fill on="f" focussize="0,0"/>
            <v:stroke on="f"/>
            <v:imagedata r:id="rId15" o:title=""/>
            <o:lock v:ext="edit" aspectratio="f"/>
            <w10:wrap type="none"/>
            <w10:anchorlock/>
          </v:shape>
          <o:OLEObject Type="Embed" ProgID="" ShapeID="_x0000_i1029" DrawAspect="Content" ObjectID="_1468075729" r:id="rId14">
            <o:LockedField>false</o:LockedField>
          </o:OLEObject>
        </w:object>
      </w:r>
      <w:r>
        <w:rPr>
          <w:rFonts w:hint="eastAsia" w:ascii="新宋体" w:hAnsi="新宋体" w:eastAsia="新宋体"/>
          <w:sz w:val="28"/>
          <w:szCs w:val="28"/>
          <w:lang w:eastAsia="zh-CN"/>
        </w:rPr>
        <w:object>
          <v:shape id="_x0000_i1030" o:spt="75" type="#_x0000_t75" style="height:625.55pt;width:458.5pt;" o:ole="t" filled="f" o:preferrelative="t" stroked="f" coordsize="21600,21600">
            <v:path/>
            <v:fill on="f" focussize="0,0"/>
            <v:stroke on="f"/>
            <v:imagedata r:id="rId17" o:title=""/>
            <o:lock v:ext="edit" aspectratio="f"/>
            <w10:wrap type="none"/>
            <w10:anchorlock/>
          </v:shape>
          <o:OLEObject Type="Embed" ProgID="" ShapeID="_x0000_i1030" DrawAspect="Content" ObjectID="_1468075730" r:id="rId16">
            <o:LockedField>false</o:LockedField>
          </o:OLEObject>
        </w:object>
      </w: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31" o:spt="75" type="#_x0000_t75" style="height:381.8pt;width:489.2pt;" o:ole="t" filled="f" o:preferrelative="t" stroked="f" coordsize="21600,21600">
            <v:path/>
            <v:fill on="f" focussize="0,0"/>
            <v:stroke on="f"/>
            <v:imagedata r:id="rId19" o:title=""/>
            <o:lock v:ext="edit" aspectratio="f"/>
            <w10:wrap type="none"/>
            <w10:anchorlock/>
          </v:shape>
          <o:OLEObject Type="Embed" ProgID="" ShapeID="_x0000_i1031" DrawAspect="Content" ObjectID="_1468075731" r:id="rId18">
            <o:LockedField>false</o:LockedField>
          </o:OLEObject>
        </w:object>
      </w: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32" o:spt="75" type="#_x0000_t75" style="height:206.75pt;width:467.35pt;" o:ole="t" filled="f" o:preferrelative="t" stroked="f" coordsize="21600,21600">
            <v:path/>
            <v:fill on="f" focussize="0,0"/>
            <v:stroke on="f"/>
            <v:imagedata r:id="rId21" o:title=""/>
            <o:lock v:ext="edit" aspectratio="f"/>
            <w10:wrap type="none"/>
            <w10:anchorlock/>
          </v:shape>
          <o:OLEObject Type="Embed" ProgID="" ShapeID="_x0000_i1032" DrawAspect="Content" ObjectID="_1468075732" r:id="rId20">
            <o:LockedField>false</o:LockedField>
          </o:OLEObject>
        </w:object>
      </w:r>
    </w:p>
    <w:p>
      <w:pPr>
        <w:spacing w:line="360" w:lineRule="auto"/>
        <w:jc w:val="left"/>
        <w:rPr>
          <w:rFonts w:hint="eastAsia" w:ascii="新宋体" w:hAnsi="新宋体" w:eastAsia="新宋体"/>
          <w:sz w:val="28"/>
          <w:szCs w:val="28"/>
          <w:lang w:eastAsia="zh-CN"/>
        </w:rPr>
      </w:pPr>
      <w:r>
        <w:rPr>
          <w:rFonts w:hint="eastAsia" w:ascii="新宋体" w:hAnsi="新宋体" w:eastAsia="新宋体"/>
          <w:sz w:val="28"/>
          <w:szCs w:val="28"/>
          <w:lang w:eastAsia="zh-CN"/>
        </w:rPr>
        <w:object>
          <v:shape id="_x0000_i1033" o:spt="75" type="#_x0000_t75" style="height:255.65pt;width:445.5pt;" o:ole="t" filled="f" o:preferrelative="t" stroked="f" coordsize="21600,21600">
            <v:path/>
            <v:fill on="f" focussize="0,0"/>
            <v:stroke on="f"/>
            <v:imagedata r:id="rId23" o:title=""/>
            <o:lock v:ext="edit" aspectratio="f"/>
            <w10:wrap type="none"/>
            <w10:anchorlock/>
          </v:shape>
          <o:OLEObject Type="Embed" ProgID="" ShapeID="_x0000_i1033" DrawAspect="Content" ObjectID="_1468075733" r:id="rId22">
            <o:LockedField>false</o:LockedField>
          </o:OLEObject>
        </w:object>
      </w:r>
    </w:p>
    <w:p>
      <w:pPr>
        <w:spacing w:line="360" w:lineRule="auto"/>
        <w:jc w:val="left"/>
        <w:rPr>
          <w:rFonts w:hint="eastAsia" w:ascii="新宋体" w:hAnsi="新宋体" w:eastAsia="新宋体"/>
          <w:sz w:val="28"/>
          <w:szCs w:val="28"/>
          <w:lang w:eastAsia="zh-CN"/>
        </w:rPr>
      </w:pPr>
    </w:p>
    <w:p>
      <w:pPr>
        <w:widowControl/>
        <w:spacing w:line="600" w:lineRule="exact"/>
        <w:ind w:firstLine="640"/>
        <w:jc w:val="center"/>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ascii="宋体" w:hAnsi="宋体" w:eastAsia="宋体" w:cs="宋体"/>
          <w:b/>
          <w:bCs/>
          <w:sz w:val="32"/>
          <w:szCs w:val="32"/>
          <w:lang w:eastAsia="zh-CN"/>
        </w:rPr>
        <w:t>三</w:t>
      </w:r>
      <w:r>
        <w:rPr>
          <w:rFonts w:hint="eastAsia" w:ascii="宋体" w:hAnsi="宋体" w:eastAsia="宋体" w:cs="宋体"/>
          <w:b/>
          <w:bCs/>
          <w:sz w:val="32"/>
          <w:szCs w:val="32"/>
        </w:rPr>
        <w:t>部分  201</w:t>
      </w:r>
      <w:r>
        <w:rPr>
          <w:rFonts w:hint="eastAsia" w:ascii="宋体" w:hAnsi="宋体" w:cs="宋体"/>
          <w:b/>
          <w:bCs/>
          <w:sz w:val="32"/>
          <w:szCs w:val="32"/>
          <w:lang w:val="en-US" w:eastAsia="zh-CN"/>
        </w:rPr>
        <w:t>9</w:t>
      </w:r>
      <w:r>
        <w:rPr>
          <w:rFonts w:hint="eastAsia" w:ascii="宋体" w:hAnsi="宋体" w:eastAsia="宋体" w:cs="宋体"/>
          <w:b/>
          <w:bCs/>
          <w:sz w:val="32"/>
          <w:szCs w:val="32"/>
        </w:rPr>
        <w:t>年</w:t>
      </w:r>
      <w:r>
        <w:rPr>
          <w:rFonts w:hint="eastAsia" w:ascii="宋体" w:hAnsi="宋体" w:cs="宋体"/>
          <w:b/>
          <w:bCs/>
          <w:sz w:val="32"/>
          <w:szCs w:val="32"/>
          <w:lang w:eastAsia="zh-CN"/>
        </w:rPr>
        <w:t>度</w:t>
      </w:r>
      <w:r>
        <w:rPr>
          <w:rFonts w:hint="eastAsia" w:ascii="宋体" w:hAnsi="宋体" w:eastAsia="宋体" w:cs="宋体"/>
          <w:b/>
          <w:bCs/>
          <w:sz w:val="32"/>
          <w:szCs w:val="32"/>
        </w:rPr>
        <w:t>部门决算情况说明</w:t>
      </w:r>
      <w:bookmarkStart w:id="0" w:name="_GoBack"/>
      <w:bookmarkEnd w:id="0"/>
    </w:p>
    <w:p>
      <w:pPr>
        <w:spacing w:line="360" w:lineRule="auto"/>
        <w:ind w:firstLine="630"/>
        <w:jc w:val="left"/>
        <w:rPr>
          <w:rFonts w:ascii="新宋体" w:hAnsi="新宋体" w:eastAsia="新宋体"/>
          <w:sz w:val="28"/>
          <w:szCs w:val="28"/>
        </w:rPr>
      </w:pPr>
    </w:p>
    <w:p>
      <w:pPr>
        <w:spacing w:line="360" w:lineRule="auto"/>
        <w:ind w:firstLine="630"/>
        <w:jc w:val="left"/>
        <w:rPr>
          <w:rFonts w:ascii="黑体" w:hAnsi="黑体" w:eastAsia="黑体"/>
          <w:sz w:val="30"/>
          <w:szCs w:val="30"/>
        </w:rPr>
      </w:pPr>
      <w:r>
        <w:rPr>
          <w:rFonts w:hint="eastAsia" w:ascii="黑体" w:hAnsi="黑体" w:eastAsia="黑体" w:cs="黑体"/>
          <w:sz w:val="30"/>
          <w:szCs w:val="30"/>
        </w:rPr>
        <w:t>一、收入决算情况说明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w:t>
      </w:r>
      <w:r>
        <w:rPr>
          <w:rFonts w:hint="eastAsia" w:ascii="仿宋" w:hAnsi="仿宋" w:eastAsia="仿宋" w:cs="Times New Roman"/>
          <w:sz w:val="30"/>
          <w:szCs w:val="30"/>
          <w:lang w:eastAsia="zh-CN"/>
        </w:rPr>
        <w:t>部门</w:t>
      </w:r>
      <w:r>
        <w:rPr>
          <w:rFonts w:hint="eastAsia" w:ascii="仿宋" w:hAnsi="仿宋" w:eastAsia="仿宋" w:cs="Times New Roman"/>
          <w:sz w:val="30"/>
          <w:szCs w:val="30"/>
        </w:rPr>
        <w:t>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年度收入总计</w:t>
      </w:r>
      <w:r>
        <w:rPr>
          <w:rFonts w:hint="eastAsia" w:ascii="仿宋" w:hAnsi="仿宋" w:eastAsia="仿宋" w:cs="Times New Roman"/>
          <w:sz w:val="30"/>
          <w:szCs w:val="30"/>
          <w:lang w:val="en-US" w:eastAsia="zh-CN"/>
        </w:rPr>
        <w:t>1775.96</w:t>
      </w:r>
      <w:r>
        <w:rPr>
          <w:rFonts w:hint="eastAsia" w:ascii="仿宋" w:hAnsi="仿宋" w:eastAsia="仿宋" w:cs="Times New Roman"/>
          <w:sz w:val="30"/>
          <w:szCs w:val="30"/>
        </w:rPr>
        <w:t>万元，其中</w:t>
      </w:r>
      <w:r>
        <w:rPr>
          <w:rFonts w:hint="eastAsia" w:ascii="仿宋" w:hAnsi="仿宋" w:eastAsia="仿宋" w:cs="Times New Roman"/>
          <w:sz w:val="30"/>
          <w:szCs w:val="30"/>
          <w:lang w:eastAsia="zh-CN"/>
        </w:rPr>
        <w:t>年初</w:t>
      </w:r>
      <w:r>
        <w:rPr>
          <w:rFonts w:hint="eastAsia" w:ascii="仿宋" w:hAnsi="仿宋" w:eastAsia="仿宋" w:cs="Times New Roman"/>
          <w:sz w:val="30"/>
          <w:szCs w:val="30"/>
        </w:rPr>
        <w:t>结转和结余</w:t>
      </w:r>
      <w:r>
        <w:rPr>
          <w:rFonts w:hint="eastAsia" w:ascii="仿宋" w:hAnsi="仿宋" w:eastAsia="仿宋" w:cs="Times New Roman"/>
          <w:sz w:val="30"/>
          <w:szCs w:val="30"/>
          <w:lang w:val="en-US" w:eastAsia="zh-CN"/>
        </w:rPr>
        <w:t>156.99</w:t>
      </w:r>
      <w:r>
        <w:rPr>
          <w:rFonts w:hint="eastAsia" w:ascii="仿宋" w:hAnsi="仿宋" w:eastAsia="仿宋" w:cs="Times New Roman"/>
          <w:sz w:val="30"/>
          <w:szCs w:val="30"/>
        </w:rPr>
        <w:t>万元，用事业基金弥补收支差额</w:t>
      </w:r>
      <w:r>
        <w:rPr>
          <w:rFonts w:hint="eastAsia" w:ascii="仿宋" w:hAnsi="仿宋" w:eastAsia="仿宋" w:cs="Times New Roman"/>
          <w:sz w:val="30"/>
          <w:szCs w:val="30"/>
          <w:lang w:val="en-US" w:eastAsia="zh-CN"/>
        </w:rPr>
        <w:t>87.5</w:t>
      </w:r>
      <w:r>
        <w:rPr>
          <w:rFonts w:hint="eastAsia" w:ascii="仿宋" w:hAnsi="仿宋" w:eastAsia="仿宋" w:cs="Times New Roman"/>
          <w:sz w:val="30"/>
          <w:szCs w:val="30"/>
        </w:rPr>
        <w:t>万元，较上年收入总计1680.55万元增加</w:t>
      </w:r>
      <w:r>
        <w:rPr>
          <w:rFonts w:hint="eastAsia" w:ascii="仿宋" w:hAnsi="仿宋" w:eastAsia="仿宋" w:cs="Times New Roman"/>
          <w:sz w:val="30"/>
          <w:szCs w:val="30"/>
          <w:lang w:val="en-US" w:eastAsia="zh-CN"/>
        </w:rPr>
        <w:t>95.41</w:t>
      </w:r>
      <w:r>
        <w:rPr>
          <w:rFonts w:hint="eastAsia" w:ascii="仿宋" w:hAnsi="仿宋" w:eastAsia="仿宋" w:cs="Times New Roman"/>
          <w:sz w:val="30"/>
          <w:szCs w:val="30"/>
        </w:rPr>
        <w:t>万元，增长</w:t>
      </w:r>
      <w:r>
        <w:rPr>
          <w:rFonts w:hint="eastAsia" w:ascii="仿宋" w:hAnsi="仿宋" w:eastAsia="仿宋" w:cs="Times New Roman"/>
          <w:sz w:val="30"/>
          <w:szCs w:val="30"/>
          <w:lang w:val="en-US" w:eastAsia="zh-CN"/>
        </w:rPr>
        <w:t>5.68</w:t>
      </w:r>
      <w:r>
        <w:rPr>
          <w:rFonts w:hint="eastAsia" w:ascii="仿宋" w:hAnsi="仿宋" w:eastAsia="仿宋" w:cs="Times New Roman"/>
          <w:sz w:val="30"/>
          <w:szCs w:val="30"/>
        </w:rPr>
        <w:t xml:space="preserve"> %；本年收入合计</w:t>
      </w:r>
      <w:r>
        <w:rPr>
          <w:rFonts w:hint="eastAsia" w:ascii="仿宋" w:hAnsi="仿宋" w:eastAsia="仿宋" w:cs="Times New Roman"/>
          <w:sz w:val="30"/>
          <w:szCs w:val="30"/>
          <w:lang w:val="en-US" w:eastAsia="zh-CN"/>
        </w:rPr>
        <w:t>1531.47</w:t>
      </w:r>
      <w:r>
        <w:rPr>
          <w:rFonts w:hint="eastAsia" w:ascii="仿宋" w:hAnsi="仿宋" w:eastAsia="仿宋" w:cs="Times New Roman"/>
          <w:sz w:val="30"/>
          <w:szCs w:val="30"/>
        </w:rPr>
        <w:t>万元，较上年增加</w:t>
      </w:r>
      <w:r>
        <w:rPr>
          <w:rFonts w:hint="eastAsia" w:ascii="仿宋" w:hAnsi="仿宋" w:eastAsia="仿宋" w:cs="Times New Roman"/>
          <w:sz w:val="30"/>
          <w:szCs w:val="30"/>
          <w:lang w:val="en-US" w:eastAsia="zh-CN"/>
        </w:rPr>
        <w:t>100.34</w:t>
      </w:r>
      <w:r>
        <w:rPr>
          <w:rFonts w:hint="eastAsia" w:ascii="仿宋" w:hAnsi="仿宋" w:eastAsia="仿宋" w:cs="Times New Roman"/>
          <w:sz w:val="30"/>
          <w:szCs w:val="30"/>
        </w:rPr>
        <w:t>万元，增长</w:t>
      </w:r>
      <w:r>
        <w:rPr>
          <w:rFonts w:hint="eastAsia" w:ascii="仿宋" w:hAnsi="仿宋" w:eastAsia="仿宋" w:cs="Times New Roman"/>
          <w:sz w:val="30"/>
          <w:szCs w:val="30"/>
          <w:lang w:val="en-US" w:eastAsia="zh-CN"/>
        </w:rPr>
        <w:t>7.01</w:t>
      </w:r>
      <w:r>
        <w:rPr>
          <w:rFonts w:hint="eastAsia" w:ascii="仿宋" w:hAnsi="仿宋" w:eastAsia="仿宋" w:cs="Times New Roman"/>
          <w:sz w:val="30"/>
          <w:szCs w:val="30"/>
        </w:rPr>
        <w:t xml:space="preserve"> %,主要原因是：今年</w:t>
      </w:r>
      <w:r>
        <w:rPr>
          <w:rFonts w:hint="eastAsia" w:ascii="仿宋" w:hAnsi="仿宋" w:eastAsia="仿宋" w:cs="Times New Roman"/>
          <w:sz w:val="30"/>
          <w:szCs w:val="30"/>
          <w:lang w:eastAsia="zh-CN"/>
        </w:rPr>
        <w:t>财政拨款</w:t>
      </w:r>
      <w:r>
        <w:rPr>
          <w:rFonts w:hint="eastAsia" w:ascii="仿宋" w:hAnsi="仿宋" w:eastAsia="仿宋" w:cs="Times New Roman"/>
          <w:sz w:val="30"/>
          <w:szCs w:val="30"/>
        </w:rPr>
        <w:t>收入较去年增长了</w:t>
      </w:r>
      <w:r>
        <w:rPr>
          <w:rFonts w:hint="eastAsia" w:ascii="仿宋" w:hAnsi="仿宋" w:eastAsia="仿宋" w:cs="Times New Roman"/>
          <w:sz w:val="30"/>
          <w:szCs w:val="30"/>
          <w:lang w:val="en-US" w:eastAsia="zh-CN"/>
        </w:rPr>
        <w:t>15.17</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lang w:eastAsia="zh-CN"/>
        </w:rPr>
        <w:t>新增了财政拨款的项目：江西省全民终身学习活动周总开幕式经费</w:t>
      </w:r>
      <w:r>
        <w:rPr>
          <w:rFonts w:hint="eastAsia" w:ascii="仿宋" w:hAnsi="仿宋" w:eastAsia="仿宋" w:cs="Times New Roman"/>
          <w:sz w:val="30"/>
          <w:szCs w:val="30"/>
        </w:rPr>
        <w:t>。</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本年收入的具体构成为：财政拨款收入</w:t>
      </w:r>
      <w:r>
        <w:rPr>
          <w:rFonts w:hint="eastAsia" w:ascii="仿宋" w:hAnsi="仿宋" w:eastAsia="仿宋" w:cs="Times New Roman"/>
          <w:sz w:val="30"/>
          <w:szCs w:val="30"/>
          <w:lang w:val="en-US" w:eastAsia="zh-CN"/>
        </w:rPr>
        <w:t>647.80</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42.30</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事业收入</w:t>
      </w:r>
      <w:r>
        <w:rPr>
          <w:rFonts w:hint="eastAsia" w:ascii="仿宋" w:hAnsi="仿宋" w:eastAsia="仿宋" w:cs="Times New Roman"/>
          <w:sz w:val="30"/>
          <w:szCs w:val="30"/>
          <w:lang w:val="en-US" w:eastAsia="zh-CN"/>
        </w:rPr>
        <w:t>841.91</w:t>
      </w:r>
      <w:r>
        <w:rPr>
          <w:rFonts w:hint="eastAsia" w:ascii="仿宋" w:hAnsi="仿宋" w:eastAsia="仿宋" w:cs="Times New Roman"/>
          <w:sz w:val="30"/>
          <w:szCs w:val="30"/>
        </w:rPr>
        <w:t>万元，</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占</w:t>
      </w:r>
      <w:r>
        <w:rPr>
          <w:rFonts w:hint="eastAsia" w:ascii="仿宋" w:hAnsi="仿宋" w:eastAsia="仿宋" w:cs="Times New Roman"/>
          <w:sz w:val="30"/>
          <w:szCs w:val="30"/>
          <w:lang w:val="en-US" w:eastAsia="zh-CN"/>
        </w:rPr>
        <w:t>54.97</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上级补助收入</w:t>
      </w:r>
      <w:r>
        <w:rPr>
          <w:rFonts w:hint="eastAsia" w:ascii="仿宋" w:hAnsi="仿宋" w:eastAsia="仿宋" w:cs="Times New Roman"/>
          <w:sz w:val="30"/>
          <w:szCs w:val="30"/>
          <w:lang w:val="en-US" w:eastAsia="zh-CN"/>
        </w:rPr>
        <w:t>41.75</w:t>
      </w:r>
      <w:r>
        <w:rPr>
          <w:rFonts w:hint="eastAsia" w:ascii="仿宋" w:hAnsi="仿宋" w:eastAsia="仿宋" w:cs="Times New Roman"/>
          <w:sz w:val="30"/>
          <w:szCs w:val="30"/>
        </w:rPr>
        <w:t>万元，占2</w:t>
      </w:r>
      <w:r>
        <w:rPr>
          <w:rFonts w:hint="eastAsia" w:ascii="仿宋" w:hAnsi="仿宋" w:eastAsia="仿宋" w:cs="Times New Roman"/>
          <w:sz w:val="30"/>
          <w:szCs w:val="30"/>
          <w:lang w:val="en-US" w:eastAsia="zh-CN"/>
        </w:rPr>
        <w:t>.73</w:t>
      </w:r>
      <w:r>
        <w:rPr>
          <w:rFonts w:hint="eastAsia" w:ascii="仿宋" w:hAnsi="仿宋" w:eastAsia="仿宋" w:cs="Times New Roman"/>
          <w:sz w:val="30"/>
          <w:szCs w:val="30"/>
        </w:rPr>
        <w:t>%。</w:t>
      </w:r>
    </w:p>
    <w:p>
      <w:pPr>
        <w:spacing w:line="360" w:lineRule="auto"/>
        <w:ind w:firstLine="630"/>
        <w:jc w:val="left"/>
        <w:rPr>
          <w:rFonts w:ascii="新宋体" w:hAnsi="新宋体" w:eastAsia="新宋体"/>
          <w:sz w:val="30"/>
          <w:szCs w:val="30"/>
        </w:rPr>
      </w:pPr>
    </w:p>
    <w:p>
      <w:pPr>
        <w:spacing w:line="360" w:lineRule="auto"/>
        <w:ind w:left="630"/>
        <w:jc w:val="left"/>
        <w:rPr>
          <w:rFonts w:ascii="新宋体" w:hAnsi="新宋体" w:eastAsia="新宋体"/>
          <w:b/>
          <w:bCs/>
          <w:sz w:val="28"/>
          <w:szCs w:val="28"/>
        </w:rPr>
      </w:pPr>
      <w:r>
        <w:rPr>
          <w:rFonts w:hint="eastAsia" w:ascii="黑体" w:hAnsi="黑体" w:eastAsia="黑体" w:cs="黑体"/>
          <w:sz w:val="30"/>
          <w:szCs w:val="30"/>
        </w:rPr>
        <w:t>二、支出决算情况说明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w:t>
      </w:r>
      <w:r>
        <w:rPr>
          <w:rFonts w:hint="eastAsia" w:ascii="仿宋" w:hAnsi="仿宋" w:eastAsia="仿宋" w:cs="Times New Roman"/>
          <w:sz w:val="30"/>
          <w:szCs w:val="30"/>
          <w:lang w:eastAsia="zh-CN"/>
        </w:rPr>
        <w:t>部门</w:t>
      </w:r>
      <w:r>
        <w:rPr>
          <w:rFonts w:hint="eastAsia" w:ascii="仿宋" w:hAnsi="仿宋" w:eastAsia="仿宋" w:cs="Times New Roman"/>
          <w:sz w:val="30"/>
          <w:szCs w:val="30"/>
        </w:rPr>
        <w:t>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年度支出总计</w:t>
      </w:r>
      <w:r>
        <w:rPr>
          <w:rFonts w:hint="eastAsia" w:ascii="仿宋" w:hAnsi="仿宋" w:eastAsia="仿宋" w:cs="Times New Roman"/>
          <w:sz w:val="30"/>
          <w:szCs w:val="30"/>
          <w:lang w:val="en-US" w:eastAsia="zh-CN"/>
        </w:rPr>
        <w:t>1775.96</w:t>
      </w:r>
      <w:r>
        <w:rPr>
          <w:rFonts w:hint="eastAsia" w:ascii="仿宋" w:hAnsi="仿宋" w:eastAsia="仿宋" w:cs="Times New Roman"/>
          <w:sz w:val="30"/>
          <w:szCs w:val="30"/>
        </w:rPr>
        <w:t>万元，其中本年支出合计</w:t>
      </w:r>
      <w:r>
        <w:rPr>
          <w:rFonts w:hint="eastAsia" w:ascii="仿宋" w:hAnsi="仿宋" w:eastAsia="仿宋" w:cs="Times New Roman"/>
          <w:sz w:val="30"/>
          <w:szCs w:val="30"/>
          <w:lang w:val="en-US" w:eastAsia="zh-CN"/>
        </w:rPr>
        <w:t>1589.63</w:t>
      </w:r>
      <w:r>
        <w:rPr>
          <w:rFonts w:hint="eastAsia" w:ascii="仿宋" w:hAnsi="仿宋" w:eastAsia="仿宋" w:cs="Times New Roman"/>
          <w:sz w:val="30"/>
          <w:szCs w:val="30"/>
        </w:rPr>
        <w:t>万元，较上年</w:t>
      </w:r>
      <w:r>
        <w:rPr>
          <w:rFonts w:hint="eastAsia" w:ascii="仿宋" w:hAnsi="仿宋" w:eastAsia="仿宋" w:cs="Times New Roman"/>
          <w:sz w:val="30"/>
          <w:szCs w:val="30"/>
          <w:lang w:eastAsia="zh-CN"/>
        </w:rPr>
        <w:t>支出合计</w:t>
      </w:r>
      <w:r>
        <w:rPr>
          <w:rFonts w:hint="eastAsia" w:ascii="仿宋" w:hAnsi="仿宋" w:eastAsia="仿宋" w:cs="Times New Roman"/>
          <w:sz w:val="30"/>
          <w:szCs w:val="30"/>
        </w:rPr>
        <w:t>增加</w:t>
      </w:r>
      <w:r>
        <w:rPr>
          <w:rFonts w:hint="eastAsia" w:ascii="仿宋" w:hAnsi="仿宋" w:eastAsia="仿宋" w:cs="Times New Roman"/>
          <w:sz w:val="30"/>
          <w:szCs w:val="30"/>
          <w:lang w:val="en-US" w:eastAsia="zh-CN"/>
        </w:rPr>
        <w:t>101.51</w:t>
      </w:r>
      <w:r>
        <w:rPr>
          <w:rFonts w:hint="eastAsia" w:ascii="仿宋" w:hAnsi="仿宋" w:eastAsia="仿宋" w:cs="Times New Roman"/>
          <w:sz w:val="30"/>
          <w:szCs w:val="30"/>
        </w:rPr>
        <w:t>万元，增长1</w:t>
      </w:r>
      <w:r>
        <w:rPr>
          <w:rFonts w:hint="eastAsia" w:ascii="仿宋" w:hAnsi="仿宋" w:eastAsia="仿宋" w:cs="Times New Roman"/>
          <w:sz w:val="30"/>
          <w:szCs w:val="30"/>
          <w:lang w:val="en-US" w:eastAsia="zh-CN"/>
        </w:rPr>
        <w:t>6.82</w:t>
      </w:r>
      <w:r>
        <w:rPr>
          <w:rFonts w:hint="eastAsia" w:ascii="仿宋" w:hAnsi="仿宋" w:eastAsia="仿宋" w:cs="Times New Roman"/>
          <w:sz w:val="30"/>
          <w:szCs w:val="30"/>
        </w:rPr>
        <w:t>%，主要原因是：1、市民学习中心改建</w:t>
      </w:r>
      <w:r>
        <w:rPr>
          <w:rFonts w:hint="eastAsia" w:ascii="仿宋" w:hAnsi="仿宋" w:eastAsia="仿宋" w:cs="Times New Roman"/>
          <w:sz w:val="30"/>
          <w:szCs w:val="30"/>
          <w:lang w:eastAsia="zh-CN"/>
        </w:rPr>
        <w:t>主要在今年</w:t>
      </w:r>
      <w:r>
        <w:rPr>
          <w:rFonts w:hint="eastAsia" w:ascii="仿宋" w:hAnsi="仿宋" w:eastAsia="仿宋" w:cs="Times New Roman"/>
          <w:sz w:val="30"/>
          <w:szCs w:val="30"/>
        </w:rPr>
        <w:t>，大型修缮费用</w:t>
      </w:r>
      <w:r>
        <w:rPr>
          <w:rFonts w:hint="eastAsia" w:ascii="仿宋" w:hAnsi="仿宋" w:eastAsia="仿宋" w:cs="Times New Roman"/>
          <w:sz w:val="30"/>
          <w:szCs w:val="30"/>
          <w:lang w:eastAsia="zh-CN"/>
        </w:rPr>
        <w:t>明显</w:t>
      </w:r>
      <w:r>
        <w:rPr>
          <w:rFonts w:hint="eastAsia" w:ascii="仿宋" w:hAnsi="仿宋" w:eastAsia="仿宋" w:cs="Times New Roman"/>
          <w:sz w:val="30"/>
          <w:szCs w:val="30"/>
        </w:rPr>
        <w:t>增加；2、</w:t>
      </w:r>
      <w:r>
        <w:rPr>
          <w:rFonts w:hint="eastAsia" w:ascii="仿宋" w:hAnsi="仿宋" w:eastAsia="仿宋" w:cs="Times New Roman"/>
          <w:sz w:val="30"/>
          <w:szCs w:val="30"/>
          <w:lang w:eastAsia="zh-CN"/>
        </w:rPr>
        <w:t>新增项目江西省全民终身学习活动周总开幕式</w:t>
      </w:r>
      <w:r>
        <w:rPr>
          <w:rFonts w:hint="eastAsia" w:ascii="仿宋" w:hAnsi="仿宋" w:eastAsia="仿宋" w:cs="Times New Roman"/>
          <w:sz w:val="30"/>
          <w:szCs w:val="30"/>
        </w:rPr>
        <w:t>，</w:t>
      </w:r>
      <w:r>
        <w:rPr>
          <w:rFonts w:hint="eastAsia" w:ascii="仿宋" w:hAnsi="仿宋" w:eastAsia="仿宋" w:cs="Times New Roman"/>
          <w:sz w:val="30"/>
          <w:szCs w:val="30"/>
          <w:lang w:eastAsia="zh-CN"/>
        </w:rPr>
        <w:t>故</w:t>
      </w:r>
      <w:r>
        <w:rPr>
          <w:rFonts w:hint="eastAsia" w:ascii="仿宋" w:hAnsi="仿宋" w:eastAsia="仿宋" w:cs="Times New Roman"/>
          <w:sz w:val="30"/>
          <w:szCs w:val="30"/>
        </w:rPr>
        <w:t>本年支出增加。年末结转结余</w:t>
      </w:r>
      <w:r>
        <w:rPr>
          <w:rFonts w:hint="eastAsia" w:ascii="仿宋" w:hAnsi="仿宋" w:eastAsia="仿宋" w:cs="Times New Roman"/>
          <w:sz w:val="30"/>
          <w:szCs w:val="30"/>
          <w:lang w:val="en-US" w:eastAsia="zh-CN"/>
        </w:rPr>
        <w:t>186.33</w:t>
      </w:r>
      <w:r>
        <w:rPr>
          <w:rFonts w:hint="eastAsia" w:ascii="仿宋" w:hAnsi="仿宋" w:eastAsia="仿宋" w:cs="Times New Roman"/>
          <w:sz w:val="30"/>
          <w:szCs w:val="30"/>
        </w:rPr>
        <w:t>万元，较上年增加</w:t>
      </w:r>
      <w:r>
        <w:rPr>
          <w:rFonts w:hint="eastAsia" w:ascii="仿宋" w:hAnsi="仿宋" w:eastAsia="仿宋" w:cs="Times New Roman"/>
          <w:sz w:val="30"/>
          <w:szCs w:val="30"/>
          <w:lang w:val="en-US" w:eastAsia="zh-CN"/>
        </w:rPr>
        <w:t>18.69</w:t>
      </w:r>
      <w:r>
        <w:rPr>
          <w:rFonts w:hint="eastAsia" w:ascii="仿宋" w:hAnsi="仿宋" w:eastAsia="仿宋" w:cs="Times New Roman"/>
          <w:sz w:val="30"/>
          <w:szCs w:val="30"/>
        </w:rPr>
        <w:t>%，主要原因是：上缴上级支出</w:t>
      </w:r>
      <w:r>
        <w:rPr>
          <w:rFonts w:hint="eastAsia" w:ascii="仿宋" w:hAnsi="仿宋" w:eastAsia="仿宋" w:cs="Times New Roman"/>
          <w:sz w:val="30"/>
          <w:szCs w:val="30"/>
          <w:lang w:eastAsia="zh-CN"/>
        </w:rPr>
        <w:t>较去年有</w:t>
      </w:r>
      <w:r>
        <w:rPr>
          <w:rFonts w:hint="eastAsia" w:ascii="仿宋" w:hAnsi="仿宋" w:eastAsia="仿宋" w:cs="Times New Roman"/>
          <w:sz w:val="30"/>
          <w:szCs w:val="30"/>
        </w:rPr>
        <w:t>大幅</w:t>
      </w:r>
      <w:r>
        <w:rPr>
          <w:rFonts w:hint="eastAsia" w:ascii="仿宋" w:hAnsi="仿宋" w:eastAsia="仿宋" w:cs="Times New Roman"/>
          <w:sz w:val="30"/>
          <w:szCs w:val="30"/>
          <w:lang w:eastAsia="zh-CN"/>
        </w:rPr>
        <w:t>减少</w:t>
      </w:r>
      <w:r>
        <w:rPr>
          <w:rFonts w:hint="eastAsia" w:ascii="仿宋" w:hAnsi="仿宋" w:eastAsia="仿宋" w:cs="Times New Roman"/>
          <w:sz w:val="30"/>
          <w:szCs w:val="30"/>
        </w:rPr>
        <w:t>。</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本年支出的具体构成为：基本支出</w:t>
      </w:r>
      <w:r>
        <w:rPr>
          <w:rFonts w:hint="eastAsia" w:ascii="仿宋" w:hAnsi="仿宋" w:eastAsia="仿宋" w:cs="Times New Roman"/>
          <w:sz w:val="30"/>
          <w:szCs w:val="30"/>
          <w:lang w:val="en-US" w:eastAsia="zh-CN"/>
        </w:rPr>
        <w:t>1105.94</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69.57</w:t>
      </w:r>
      <w:r>
        <w:rPr>
          <w:rFonts w:hint="eastAsia" w:ascii="仿宋" w:hAnsi="仿宋" w:eastAsia="仿宋" w:cs="Times New Roman"/>
          <w:sz w:val="30"/>
          <w:szCs w:val="30"/>
        </w:rPr>
        <w:t>%，其中：人员经费</w:t>
      </w:r>
      <w:r>
        <w:rPr>
          <w:rFonts w:hint="eastAsia" w:ascii="仿宋" w:hAnsi="仿宋" w:eastAsia="仿宋" w:cs="Times New Roman"/>
          <w:sz w:val="30"/>
          <w:szCs w:val="30"/>
          <w:lang w:val="en-US" w:eastAsia="zh-CN"/>
        </w:rPr>
        <w:t>850.11</w:t>
      </w:r>
      <w:r>
        <w:rPr>
          <w:rFonts w:hint="eastAsia" w:ascii="仿宋" w:hAnsi="仿宋" w:eastAsia="仿宋" w:cs="Times New Roman"/>
          <w:sz w:val="30"/>
          <w:szCs w:val="30"/>
        </w:rPr>
        <w:t>万元，占基本支出的</w:t>
      </w:r>
      <w:r>
        <w:rPr>
          <w:rFonts w:hint="eastAsia" w:ascii="仿宋" w:hAnsi="仿宋" w:eastAsia="仿宋" w:cs="Times New Roman"/>
          <w:sz w:val="30"/>
          <w:szCs w:val="30"/>
          <w:lang w:val="en-US" w:eastAsia="zh-CN"/>
        </w:rPr>
        <w:t>76.87</w:t>
      </w:r>
      <w:r>
        <w:rPr>
          <w:rFonts w:hint="eastAsia" w:ascii="仿宋" w:hAnsi="仿宋" w:eastAsia="仿宋" w:cs="Times New Roman"/>
          <w:sz w:val="30"/>
          <w:szCs w:val="30"/>
        </w:rPr>
        <w:t xml:space="preserve"> %，日常公用经费</w:t>
      </w:r>
      <w:r>
        <w:rPr>
          <w:rFonts w:hint="eastAsia" w:ascii="仿宋" w:hAnsi="仿宋" w:eastAsia="仿宋" w:cs="Times New Roman"/>
          <w:sz w:val="30"/>
          <w:szCs w:val="30"/>
          <w:lang w:val="en-US" w:eastAsia="zh-CN"/>
        </w:rPr>
        <w:t>255.83</w:t>
      </w:r>
      <w:r>
        <w:rPr>
          <w:rFonts w:hint="eastAsia" w:ascii="仿宋" w:hAnsi="仿宋" w:eastAsia="仿宋" w:cs="Times New Roman"/>
          <w:sz w:val="30"/>
          <w:szCs w:val="30"/>
        </w:rPr>
        <w:t>万元，</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占基本支出的</w:t>
      </w:r>
      <w:r>
        <w:rPr>
          <w:rFonts w:hint="eastAsia" w:ascii="仿宋" w:hAnsi="仿宋" w:eastAsia="仿宋" w:cs="Times New Roman"/>
          <w:sz w:val="30"/>
          <w:szCs w:val="30"/>
          <w:lang w:val="en-US" w:eastAsia="zh-CN"/>
        </w:rPr>
        <w:t>23.13</w:t>
      </w:r>
      <w:r>
        <w:rPr>
          <w:rFonts w:hint="eastAsia" w:ascii="仿宋" w:hAnsi="仿宋" w:eastAsia="仿宋" w:cs="Times New Roman"/>
          <w:sz w:val="30"/>
          <w:szCs w:val="30"/>
        </w:rPr>
        <w:t xml:space="preserve"> %</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项目支出</w:t>
      </w:r>
      <w:r>
        <w:rPr>
          <w:rFonts w:hint="eastAsia" w:ascii="仿宋" w:hAnsi="仿宋" w:eastAsia="仿宋" w:cs="Times New Roman"/>
          <w:sz w:val="30"/>
          <w:szCs w:val="30"/>
          <w:lang w:val="en-US" w:eastAsia="zh-CN"/>
        </w:rPr>
        <w:t>262.72</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16.53</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上缴上级支出</w:t>
      </w:r>
      <w:r>
        <w:rPr>
          <w:rFonts w:hint="eastAsia" w:ascii="仿宋" w:hAnsi="仿宋" w:eastAsia="仿宋" w:cs="Times New Roman"/>
          <w:sz w:val="30"/>
          <w:szCs w:val="30"/>
          <w:lang w:val="en-US" w:eastAsia="zh-CN"/>
        </w:rPr>
        <w:t>220.96</w:t>
      </w:r>
      <w:r>
        <w:rPr>
          <w:rFonts w:hint="eastAsia" w:ascii="仿宋" w:hAnsi="仿宋" w:eastAsia="仿宋" w:cs="Times New Roman"/>
          <w:sz w:val="30"/>
          <w:szCs w:val="30"/>
        </w:rPr>
        <w:t>万元，占</w:t>
      </w:r>
      <w:r>
        <w:rPr>
          <w:rFonts w:hint="eastAsia" w:ascii="仿宋" w:hAnsi="仿宋" w:eastAsia="仿宋" w:cs="Times New Roman"/>
          <w:sz w:val="30"/>
          <w:szCs w:val="30"/>
          <w:lang w:val="en-US" w:eastAsia="zh-CN"/>
        </w:rPr>
        <w:t>13.9</w:t>
      </w:r>
      <w:r>
        <w:rPr>
          <w:rFonts w:hint="eastAsia" w:ascii="仿宋" w:hAnsi="仿宋" w:eastAsia="仿宋" w:cs="Times New Roman"/>
          <w:sz w:val="30"/>
          <w:szCs w:val="30"/>
        </w:rPr>
        <w:t>%。</w:t>
      </w:r>
    </w:p>
    <w:p>
      <w:pPr>
        <w:spacing w:line="360" w:lineRule="auto"/>
        <w:ind w:firstLine="630"/>
        <w:jc w:val="left"/>
        <w:rPr>
          <w:rFonts w:ascii="新宋体" w:hAnsi="新宋体" w:eastAsia="新宋体"/>
          <w:sz w:val="30"/>
          <w:szCs w:val="30"/>
        </w:rPr>
      </w:pPr>
    </w:p>
    <w:p>
      <w:pPr>
        <w:numPr>
          <w:ilvl w:val="0"/>
          <w:numId w:val="1"/>
        </w:numPr>
        <w:spacing w:line="360" w:lineRule="auto"/>
        <w:ind w:firstLine="630"/>
        <w:jc w:val="left"/>
        <w:rPr>
          <w:rFonts w:ascii="黑体" w:hAnsi="黑体" w:eastAsia="黑体"/>
          <w:sz w:val="30"/>
          <w:szCs w:val="30"/>
        </w:rPr>
      </w:pPr>
      <w:r>
        <w:rPr>
          <w:rFonts w:hint="eastAsia" w:ascii="黑体" w:hAnsi="黑体" w:eastAsia="黑体" w:cs="黑体"/>
          <w:sz w:val="30"/>
          <w:szCs w:val="30"/>
        </w:rPr>
        <w:t>财政拨款支出决算情况说明</w:t>
      </w:r>
    </w:p>
    <w:p>
      <w:pPr>
        <w:keepNext w:val="0"/>
        <w:keepLines w:val="0"/>
        <w:pageBreakBefore w:val="0"/>
        <w:widowControl w:val="0"/>
        <w:kinsoku/>
        <w:wordWrap/>
        <w:overflowPunct/>
        <w:topLinePunct w:val="0"/>
        <w:autoSpaceDE/>
        <w:autoSpaceDN/>
        <w:bidi w:val="0"/>
        <w:adjustRightInd/>
        <w:snapToGrid/>
        <w:ind w:firstLine="629"/>
        <w:jc w:val="left"/>
        <w:textAlignment w:val="auto"/>
        <w:rPr>
          <w:rFonts w:hint="eastAsia" w:ascii="仿宋" w:hAnsi="仿宋" w:eastAsia="仿宋" w:cs="Times New Roman"/>
          <w:sz w:val="30"/>
          <w:szCs w:val="30"/>
        </w:rPr>
      </w:pPr>
      <w:r>
        <w:rPr>
          <w:rFonts w:hint="eastAsia" w:ascii="仿宋" w:hAnsi="仿宋" w:eastAsia="仿宋" w:cs="Times New Roman"/>
          <w:sz w:val="30"/>
          <w:szCs w:val="30"/>
        </w:rPr>
        <w:t>本</w:t>
      </w:r>
      <w:r>
        <w:rPr>
          <w:rFonts w:hint="eastAsia" w:ascii="仿宋" w:hAnsi="仿宋" w:eastAsia="仿宋" w:cs="Times New Roman"/>
          <w:sz w:val="30"/>
          <w:szCs w:val="30"/>
          <w:lang w:eastAsia="zh-CN"/>
        </w:rPr>
        <w:t>部门</w:t>
      </w:r>
      <w:r>
        <w:rPr>
          <w:rFonts w:hint="eastAsia" w:ascii="仿宋" w:hAnsi="仿宋" w:eastAsia="仿宋" w:cs="Times New Roman"/>
          <w:sz w:val="30"/>
          <w:szCs w:val="30"/>
        </w:rPr>
        <w:t>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年度财政拨款本年支出年初预算数为</w:t>
      </w:r>
      <w:r>
        <w:rPr>
          <w:rFonts w:hint="eastAsia" w:ascii="仿宋" w:hAnsi="仿宋" w:eastAsia="仿宋" w:cs="Times New Roman"/>
          <w:sz w:val="30"/>
          <w:szCs w:val="30"/>
          <w:lang w:val="en-US" w:eastAsia="zh-CN"/>
        </w:rPr>
        <w:t>601.89</w:t>
      </w:r>
      <w:r>
        <w:rPr>
          <w:rFonts w:hint="eastAsia" w:ascii="仿宋" w:hAnsi="仿宋" w:eastAsia="仿宋" w:cs="Times New Roman"/>
          <w:sz w:val="30"/>
          <w:szCs w:val="30"/>
        </w:rPr>
        <w:t>万元，决算数为</w:t>
      </w:r>
      <w:r>
        <w:rPr>
          <w:rFonts w:hint="eastAsia" w:ascii="仿宋" w:hAnsi="仿宋" w:eastAsia="仿宋" w:cs="Times New Roman"/>
          <w:sz w:val="30"/>
          <w:szCs w:val="30"/>
          <w:lang w:val="en-US" w:eastAsia="zh-CN"/>
        </w:rPr>
        <w:t>618.67</w:t>
      </w:r>
      <w:r>
        <w:rPr>
          <w:rFonts w:hint="eastAsia" w:ascii="仿宋" w:hAnsi="仿宋" w:eastAsia="仿宋" w:cs="Times New Roman"/>
          <w:sz w:val="30"/>
          <w:szCs w:val="30"/>
        </w:rPr>
        <w:t>万元，其中基本支出</w:t>
      </w:r>
      <w:r>
        <w:rPr>
          <w:rFonts w:hint="eastAsia" w:ascii="仿宋" w:hAnsi="仿宋" w:eastAsia="仿宋" w:cs="Times New Roman"/>
          <w:sz w:val="30"/>
          <w:szCs w:val="30"/>
          <w:lang w:val="en-US" w:eastAsia="zh-CN"/>
        </w:rPr>
        <w:t>549.64</w:t>
      </w:r>
      <w:r>
        <w:rPr>
          <w:rFonts w:hint="eastAsia" w:ascii="仿宋" w:hAnsi="仿宋" w:eastAsia="仿宋" w:cs="Times New Roman"/>
          <w:sz w:val="30"/>
          <w:szCs w:val="30"/>
        </w:rPr>
        <w:t>万元，项目支出</w:t>
      </w:r>
      <w:r>
        <w:rPr>
          <w:rFonts w:hint="eastAsia" w:ascii="仿宋" w:hAnsi="仿宋" w:eastAsia="仿宋" w:cs="Times New Roman"/>
          <w:sz w:val="30"/>
          <w:szCs w:val="30"/>
          <w:lang w:val="en-US" w:eastAsia="zh-CN"/>
        </w:rPr>
        <w:t>69.03</w:t>
      </w:r>
      <w:r>
        <w:rPr>
          <w:rFonts w:hint="eastAsia" w:ascii="仿宋" w:hAnsi="仿宋" w:eastAsia="仿宋" w:cs="Times New Roman"/>
          <w:sz w:val="30"/>
          <w:szCs w:val="30"/>
        </w:rPr>
        <w:t>万元</w:t>
      </w:r>
      <w:r>
        <w:rPr>
          <w:rFonts w:hint="eastAsia" w:ascii="仿宋" w:hAnsi="仿宋" w:eastAsia="仿宋" w:cs="Times New Roman"/>
          <w:sz w:val="30"/>
          <w:szCs w:val="30"/>
          <w:lang w:eastAsia="zh-CN"/>
        </w:rPr>
        <w:t>，</w:t>
      </w:r>
      <w:r>
        <w:rPr>
          <w:rFonts w:hint="eastAsia" w:ascii="仿宋" w:hAnsi="仿宋" w:eastAsia="仿宋" w:cs="Times New Roman"/>
          <w:sz w:val="30"/>
          <w:szCs w:val="30"/>
        </w:rPr>
        <w:t>完成年初预算的</w:t>
      </w:r>
      <w:r>
        <w:rPr>
          <w:rFonts w:hint="eastAsia" w:ascii="仿宋" w:hAnsi="仿宋" w:eastAsia="仿宋" w:cs="Times New Roman"/>
          <w:sz w:val="30"/>
          <w:szCs w:val="30"/>
          <w:lang w:val="en-US" w:eastAsia="zh-CN"/>
        </w:rPr>
        <w:t>102.79</w:t>
      </w:r>
      <w:r>
        <w:rPr>
          <w:rFonts w:hint="eastAsia" w:ascii="仿宋" w:hAnsi="仿宋" w:eastAsia="仿宋" w:cs="Times New Roman"/>
          <w:sz w:val="30"/>
          <w:szCs w:val="30"/>
        </w:rPr>
        <w:t xml:space="preserve"> %</w:t>
      </w:r>
      <w:r>
        <w:rPr>
          <w:rFonts w:hint="eastAsia" w:ascii="仿宋" w:hAnsi="仿宋" w:eastAsia="仿宋" w:cs="Times New Roman"/>
          <w:sz w:val="30"/>
          <w:szCs w:val="30"/>
          <w:lang w:eastAsia="zh-CN"/>
        </w:rPr>
        <w:t>，</w:t>
      </w:r>
      <w:r>
        <w:rPr>
          <w:rFonts w:hint="eastAsia" w:ascii="仿宋" w:hAnsi="仿宋" w:eastAsia="仿宋" w:cs="Times New Roman"/>
          <w:sz w:val="30"/>
          <w:szCs w:val="30"/>
        </w:rPr>
        <w:t>主要原因是</w:t>
      </w:r>
      <w:r>
        <w:rPr>
          <w:rFonts w:hint="eastAsia" w:ascii="仿宋" w:hAnsi="仿宋" w:eastAsia="仿宋" w:cs="Times New Roman"/>
          <w:sz w:val="30"/>
          <w:szCs w:val="30"/>
          <w:lang w:eastAsia="zh-CN"/>
        </w:rPr>
        <w:t>新增财政拨款小专项：江西省全民终身学习活动周总开幕式。</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按功能分类科目分：</w:t>
      </w:r>
      <w:r>
        <w:rPr>
          <w:rFonts w:hint="eastAsia" w:ascii="仿宋" w:hAnsi="仿宋" w:eastAsia="仿宋" w:cs="Times New Roman"/>
          <w:sz w:val="30"/>
          <w:szCs w:val="30"/>
          <w:lang w:val="zh-CN"/>
        </w:rPr>
        <w:t>教育</w:t>
      </w:r>
      <w:r>
        <w:rPr>
          <w:rFonts w:hint="eastAsia" w:ascii="仿宋" w:hAnsi="仿宋" w:eastAsia="仿宋" w:cs="Times New Roman"/>
          <w:sz w:val="30"/>
          <w:szCs w:val="30"/>
        </w:rPr>
        <w:t>支出</w:t>
      </w:r>
      <w:r>
        <w:rPr>
          <w:rFonts w:hint="eastAsia" w:ascii="仿宋" w:hAnsi="仿宋" w:eastAsia="仿宋" w:cs="Times New Roman"/>
          <w:sz w:val="30"/>
          <w:szCs w:val="30"/>
          <w:lang w:eastAsia="zh-CN"/>
        </w:rPr>
        <w:t>年初预算</w:t>
      </w:r>
      <w:r>
        <w:rPr>
          <w:rFonts w:hint="eastAsia" w:ascii="仿宋" w:hAnsi="仿宋" w:eastAsia="仿宋" w:cs="Times New Roman"/>
          <w:sz w:val="30"/>
          <w:szCs w:val="30"/>
          <w:lang w:val="en-US" w:eastAsia="zh-CN"/>
        </w:rPr>
        <w:t>601.89</w:t>
      </w:r>
      <w:r>
        <w:rPr>
          <w:rFonts w:hint="eastAsia" w:ascii="仿宋" w:hAnsi="仿宋" w:eastAsia="仿宋" w:cs="Times New Roman"/>
          <w:sz w:val="30"/>
          <w:szCs w:val="30"/>
        </w:rPr>
        <w:t>万元，决算数为</w:t>
      </w:r>
      <w:r>
        <w:rPr>
          <w:rFonts w:hint="eastAsia" w:ascii="仿宋" w:hAnsi="仿宋" w:eastAsia="仿宋" w:cs="Times New Roman"/>
          <w:sz w:val="30"/>
          <w:szCs w:val="30"/>
          <w:lang w:val="en-US" w:eastAsia="zh-CN"/>
        </w:rPr>
        <w:t>618.67</w:t>
      </w:r>
      <w:r>
        <w:rPr>
          <w:rFonts w:hint="eastAsia" w:ascii="仿宋" w:hAnsi="仿宋" w:eastAsia="仿宋" w:cs="Times New Roman"/>
          <w:sz w:val="30"/>
          <w:szCs w:val="30"/>
        </w:rPr>
        <w:t>万元，完成年初预算的</w:t>
      </w:r>
      <w:r>
        <w:rPr>
          <w:rFonts w:hint="eastAsia" w:ascii="仿宋" w:hAnsi="仿宋" w:eastAsia="仿宋" w:cs="Times New Roman"/>
          <w:sz w:val="30"/>
          <w:szCs w:val="30"/>
          <w:lang w:val="en-US" w:eastAsia="zh-CN"/>
        </w:rPr>
        <w:t>102.79</w:t>
      </w:r>
      <w:r>
        <w:rPr>
          <w:rFonts w:hint="eastAsia" w:ascii="仿宋" w:hAnsi="仿宋" w:eastAsia="仿宋" w:cs="Times New Roman"/>
          <w:sz w:val="30"/>
          <w:szCs w:val="30"/>
        </w:rPr>
        <w:t xml:space="preserve"> %</w:t>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lang w:eastAsia="zh-CN"/>
        </w:rPr>
        <w:t>。其中成人广播电视教育支出</w:t>
      </w:r>
      <w:r>
        <w:rPr>
          <w:rFonts w:hint="eastAsia" w:ascii="仿宋" w:hAnsi="仿宋" w:eastAsia="仿宋" w:cs="Times New Roman"/>
          <w:sz w:val="30"/>
          <w:szCs w:val="30"/>
        </w:rPr>
        <w:t>年初预算数为</w:t>
      </w:r>
      <w:r>
        <w:rPr>
          <w:rFonts w:hint="eastAsia" w:ascii="仿宋" w:hAnsi="仿宋" w:eastAsia="仿宋" w:cs="Times New Roman"/>
          <w:sz w:val="30"/>
          <w:szCs w:val="30"/>
          <w:lang w:val="en-US" w:eastAsia="zh-CN"/>
        </w:rPr>
        <w:t>601.89</w:t>
      </w:r>
      <w:r>
        <w:rPr>
          <w:rFonts w:hint="eastAsia" w:ascii="仿宋" w:hAnsi="仿宋" w:eastAsia="仿宋" w:cs="Times New Roman"/>
          <w:sz w:val="30"/>
          <w:szCs w:val="30"/>
        </w:rPr>
        <w:t>万元，决算数为</w:t>
      </w:r>
      <w:r>
        <w:rPr>
          <w:rFonts w:hint="eastAsia" w:ascii="仿宋" w:hAnsi="仿宋" w:eastAsia="仿宋" w:cs="Times New Roman"/>
          <w:sz w:val="30"/>
          <w:szCs w:val="30"/>
          <w:lang w:val="en-US" w:eastAsia="zh-CN"/>
        </w:rPr>
        <w:t>589.23</w:t>
      </w:r>
      <w:r>
        <w:rPr>
          <w:rFonts w:hint="eastAsia" w:ascii="仿宋" w:hAnsi="仿宋" w:eastAsia="仿宋" w:cs="Times New Roman"/>
          <w:sz w:val="30"/>
          <w:szCs w:val="30"/>
        </w:rPr>
        <w:t>万元，完成年初预算的</w:t>
      </w:r>
      <w:r>
        <w:rPr>
          <w:rFonts w:hint="eastAsia" w:ascii="仿宋" w:hAnsi="仿宋" w:eastAsia="仿宋" w:cs="Times New Roman"/>
          <w:sz w:val="30"/>
          <w:szCs w:val="30"/>
          <w:lang w:val="en-US" w:eastAsia="zh-CN"/>
        </w:rPr>
        <w:t xml:space="preserve">97.90 </w:t>
      </w:r>
      <w:r>
        <w:rPr>
          <w:rFonts w:hint="eastAsia" w:ascii="仿宋" w:hAnsi="仿宋" w:eastAsia="仿宋" w:cs="Times New Roman"/>
          <w:sz w:val="30"/>
          <w:szCs w:val="30"/>
        </w:rPr>
        <w:t>%</w:t>
      </w:r>
      <w:r>
        <w:rPr>
          <w:rFonts w:hint="eastAsia" w:ascii="仿宋" w:hAnsi="仿宋" w:eastAsia="仿宋" w:cs="Times New Roman"/>
          <w:sz w:val="30"/>
          <w:szCs w:val="30"/>
          <w:lang w:val="en-US" w:eastAsia="zh-CN"/>
        </w:rPr>
        <w:t xml:space="preserve"> , 其他成人教育支出决算9.23万元年初未安排， 其他教育费附加支出决算数20万元年初未安排， 教育管理事务行政运行费决算数0.21万元 </w:t>
      </w:r>
      <w:r>
        <w:rPr>
          <w:rFonts w:hint="eastAsia" w:ascii="仿宋" w:hAnsi="仿宋" w:eastAsia="仿宋" w:cs="Times New Roman"/>
          <w:sz w:val="30"/>
          <w:szCs w:val="30"/>
        </w:rPr>
        <w:t>。主要原因是</w:t>
      </w:r>
      <w:r>
        <w:rPr>
          <w:rFonts w:hint="eastAsia" w:ascii="仿宋" w:hAnsi="仿宋" w:eastAsia="仿宋" w:cs="Times New Roman"/>
          <w:sz w:val="30"/>
          <w:szCs w:val="30"/>
          <w:lang w:eastAsia="zh-CN"/>
        </w:rPr>
        <w:t>新增财政拨款小专项：江西省全民终身学习活动周总开幕式。</w:t>
      </w:r>
    </w:p>
    <w:p>
      <w:pPr>
        <w:spacing w:line="360" w:lineRule="auto"/>
        <w:ind w:firstLine="600" w:firstLineChars="200"/>
        <w:jc w:val="left"/>
        <w:rPr>
          <w:rFonts w:ascii="黑体" w:hAnsi="黑体" w:eastAsia="黑体"/>
          <w:sz w:val="30"/>
          <w:szCs w:val="30"/>
        </w:rPr>
      </w:pPr>
      <w:r>
        <w:rPr>
          <w:rFonts w:hint="eastAsia" w:ascii="黑体" w:hAnsi="黑体" w:eastAsia="黑体" w:cs="黑体"/>
          <w:sz w:val="30"/>
          <w:szCs w:val="30"/>
        </w:rPr>
        <w:t>四、一般公共预算财政拨款基本支出决算情况说明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w:t>
      </w:r>
      <w:r>
        <w:rPr>
          <w:rFonts w:hint="eastAsia" w:ascii="仿宋" w:hAnsi="仿宋" w:eastAsia="仿宋" w:cs="Times New Roman"/>
          <w:sz w:val="30"/>
          <w:szCs w:val="30"/>
          <w:lang w:eastAsia="zh-CN"/>
        </w:rPr>
        <w:t>部门</w:t>
      </w:r>
      <w:r>
        <w:rPr>
          <w:rFonts w:hint="eastAsia" w:ascii="仿宋" w:hAnsi="仿宋" w:eastAsia="仿宋" w:cs="Times New Roman"/>
          <w:sz w:val="30"/>
          <w:szCs w:val="30"/>
        </w:rPr>
        <w:t>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年度一般公共预算财政拨款基本支出</w:t>
      </w:r>
      <w:r>
        <w:rPr>
          <w:rFonts w:hint="eastAsia" w:ascii="仿宋" w:hAnsi="仿宋" w:eastAsia="仿宋" w:cs="Times New Roman"/>
          <w:sz w:val="30"/>
          <w:szCs w:val="30"/>
          <w:lang w:val="en-US" w:eastAsia="zh-CN"/>
        </w:rPr>
        <w:t>549.64</w:t>
      </w:r>
      <w:r>
        <w:rPr>
          <w:rFonts w:hint="eastAsia" w:ascii="仿宋" w:hAnsi="仿宋" w:eastAsia="仿宋" w:cs="Times New Roman"/>
          <w:sz w:val="30"/>
          <w:szCs w:val="30"/>
        </w:rPr>
        <w:t>万元，按经济分类科目分其中人员经费支出</w:t>
      </w:r>
      <w:r>
        <w:rPr>
          <w:rFonts w:hint="eastAsia" w:ascii="仿宋" w:hAnsi="仿宋" w:eastAsia="仿宋" w:cs="Times New Roman"/>
          <w:sz w:val="30"/>
          <w:szCs w:val="30"/>
          <w:lang w:val="en-US" w:eastAsia="zh-CN"/>
        </w:rPr>
        <w:t>544.73</w:t>
      </w:r>
      <w:r>
        <w:rPr>
          <w:rFonts w:hint="eastAsia" w:ascii="仿宋" w:hAnsi="仿宋" w:eastAsia="仿宋" w:cs="Times New Roman"/>
          <w:sz w:val="30"/>
          <w:szCs w:val="30"/>
        </w:rPr>
        <w:t>万元，公用经费支出</w:t>
      </w:r>
      <w:r>
        <w:rPr>
          <w:rFonts w:hint="eastAsia" w:ascii="仿宋" w:hAnsi="仿宋" w:eastAsia="仿宋" w:cs="Times New Roman"/>
          <w:sz w:val="30"/>
          <w:szCs w:val="30"/>
          <w:lang w:val="en-US" w:eastAsia="zh-CN"/>
        </w:rPr>
        <w:t>4.91</w:t>
      </w:r>
      <w:r>
        <w:rPr>
          <w:rFonts w:hint="eastAsia" w:ascii="仿宋" w:hAnsi="仿宋" w:eastAsia="仿宋" w:cs="Times New Roman"/>
          <w:sz w:val="30"/>
          <w:szCs w:val="30"/>
        </w:rPr>
        <w:t>万元，具体为</w:t>
      </w:r>
    </w:p>
    <w:p>
      <w:pPr>
        <w:widowControl w:val="0"/>
        <w:ind w:firstLine="630"/>
        <w:jc w:val="left"/>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（一）</w:t>
      </w:r>
      <w:r>
        <w:rPr>
          <w:rFonts w:hint="eastAsia" w:ascii="仿宋" w:hAnsi="仿宋" w:eastAsia="仿宋" w:cs="Times New Roman"/>
          <w:sz w:val="30"/>
          <w:szCs w:val="30"/>
        </w:rPr>
        <w:t>工资福利支出</w:t>
      </w:r>
      <w:r>
        <w:rPr>
          <w:rFonts w:hint="eastAsia" w:ascii="仿宋" w:hAnsi="仿宋" w:eastAsia="仿宋" w:cs="Times New Roman"/>
          <w:sz w:val="30"/>
          <w:szCs w:val="30"/>
          <w:lang w:val="en-US" w:eastAsia="zh-CN"/>
        </w:rPr>
        <w:t>526.84</w:t>
      </w:r>
      <w:r>
        <w:rPr>
          <w:rFonts w:hint="eastAsia" w:ascii="仿宋" w:hAnsi="仿宋" w:eastAsia="仿宋" w:cs="Times New Roman"/>
          <w:sz w:val="30"/>
          <w:szCs w:val="30"/>
        </w:rPr>
        <w:t>万元，较上年增加</w:t>
      </w:r>
      <w:r>
        <w:rPr>
          <w:rFonts w:hint="eastAsia" w:ascii="仿宋" w:hAnsi="仿宋" w:eastAsia="仿宋" w:cs="Times New Roman"/>
          <w:sz w:val="30"/>
          <w:szCs w:val="30"/>
          <w:lang w:val="en-US" w:eastAsia="zh-CN"/>
        </w:rPr>
        <w:t>71.57</w:t>
      </w:r>
      <w:r>
        <w:rPr>
          <w:rFonts w:hint="eastAsia" w:ascii="仿宋" w:hAnsi="仿宋" w:eastAsia="仿宋" w:cs="Times New Roman"/>
          <w:sz w:val="30"/>
          <w:szCs w:val="30"/>
        </w:rPr>
        <w:t>万元，增长</w:t>
      </w:r>
      <w:r>
        <w:rPr>
          <w:rFonts w:hint="eastAsia" w:ascii="仿宋" w:hAnsi="仿宋" w:eastAsia="仿宋" w:cs="Times New Roman"/>
          <w:sz w:val="30"/>
          <w:szCs w:val="30"/>
          <w:lang w:val="en-US" w:eastAsia="zh-CN"/>
        </w:rPr>
        <w:t>15.72</w:t>
      </w:r>
      <w:r>
        <w:rPr>
          <w:rFonts w:hint="eastAsia" w:ascii="仿宋" w:hAnsi="仿宋" w:eastAsia="仿宋" w:cs="Times New Roman"/>
          <w:sz w:val="30"/>
          <w:szCs w:val="30"/>
        </w:rPr>
        <w:t>%，主要原因是：</w:t>
      </w:r>
      <w:r>
        <w:rPr>
          <w:rFonts w:hint="eastAsia" w:ascii="仿宋" w:hAnsi="仿宋" w:eastAsia="仿宋" w:cs="Times New Roman"/>
          <w:sz w:val="30"/>
          <w:szCs w:val="30"/>
          <w:lang w:eastAsia="zh-CN"/>
        </w:rPr>
        <w:t>奖金发放标准按政策较去年有了大幅提高；</w:t>
      </w:r>
    </w:p>
    <w:p>
      <w:pPr>
        <w:widowControl w:val="0"/>
        <w:ind w:firstLine="630"/>
        <w:jc w:val="left"/>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（二）</w:t>
      </w:r>
      <w:r>
        <w:rPr>
          <w:rFonts w:hint="eastAsia" w:ascii="仿宋" w:hAnsi="仿宋" w:eastAsia="仿宋" w:cs="Times New Roman"/>
          <w:sz w:val="30"/>
          <w:szCs w:val="30"/>
        </w:rPr>
        <w:t>商品和服务支出</w:t>
      </w:r>
      <w:r>
        <w:rPr>
          <w:rFonts w:hint="eastAsia" w:ascii="仿宋" w:hAnsi="仿宋" w:eastAsia="仿宋" w:cs="Times New Roman"/>
          <w:sz w:val="30"/>
          <w:szCs w:val="30"/>
          <w:lang w:val="en-US" w:eastAsia="zh-CN"/>
        </w:rPr>
        <w:t>4.91</w:t>
      </w:r>
      <w:r>
        <w:rPr>
          <w:rFonts w:hint="eastAsia" w:ascii="仿宋" w:hAnsi="仿宋" w:eastAsia="仿宋" w:cs="Times New Roman"/>
          <w:sz w:val="30"/>
          <w:szCs w:val="30"/>
        </w:rPr>
        <w:t>万元，较上年</w:t>
      </w:r>
      <w:r>
        <w:rPr>
          <w:rFonts w:hint="eastAsia" w:ascii="仿宋" w:hAnsi="仿宋" w:eastAsia="仿宋" w:cs="Times New Roman"/>
          <w:sz w:val="30"/>
          <w:szCs w:val="30"/>
          <w:lang w:eastAsia="zh-CN"/>
        </w:rPr>
        <w:t>减少</w:t>
      </w:r>
      <w:r>
        <w:rPr>
          <w:rFonts w:hint="eastAsia" w:ascii="仿宋" w:hAnsi="仿宋" w:eastAsia="仿宋" w:cs="Times New Roman"/>
          <w:sz w:val="30"/>
          <w:szCs w:val="30"/>
          <w:lang w:val="en-US" w:eastAsia="zh-CN"/>
        </w:rPr>
        <w:t>20.12</w:t>
      </w:r>
      <w:r>
        <w:rPr>
          <w:rFonts w:hint="eastAsia" w:ascii="仿宋" w:hAnsi="仿宋" w:eastAsia="仿宋" w:cs="Times New Roman"/>
          <w:sz w:val="30"/>
          <w:szCs w:val="30"/>
        </w:rPr>
        <w:t>万元，</w:t>
      </w:r>
      <w:r>
        <w:rPr>
          <w:rFonts w:hint="eastAsia" w:ascii="仿宋" w:hAnsi="仿宋" w:eastAsia="仿宋" w:cs="Times New Roman"/>
          <w:sz w:val="30"/>
          <w:szCs w:val="30"/>
          <w:lang w:eastAsia="zh-CN"/>
        </w:rPr>
        <w:t>下降</w:t>
      </w:r>
      <w:r>
        <w:rPr>
          <w:rFonts w:hint="eastAsia" w:ascii="仿宋" w:hAnsi="仿宋" w:eastAsia="仿宋" w:cs="Times New Roman"/>
          <w:sz w:val="30"/>
          <w:szCs w:val="30"/>
          <w:lang w:val="en-US" w:eastAsia="zh-CN"/>
        </w:rPr>
        <w:t>80.38</w:t>
      </w:r>
      <w:r>
        <w:rPr>
          <w:rFonts w:hint="eastAsia" w:ascii="仿宋" w:hAnsi="仿宋" w:eastAsia="仿宋" w:cs="Times New Roman"/>
          <w:sz w:val="30"/>
          <w:szCs w:val="30"/>
        </w:rPr>
        <w:t>%，主要原因是：</w:t>
      </w:r>
      <w:r>
        <w:rPr>
          <w:rFonts w:hint="eastAsia" w:ascii="仿宋" w:hAnsi="仿宋" w:eastAsia="仿宋" w:cs="Times New Roman"/>
          <w:sz w:val="30"/>
          <w:szCs w:val="30"/>
          <w:lang w:eastAsia="zh-CN"/>
        </w:rPr>
        <w:t>本年度单位施行了公车改革，公务用运行维护费不再有费用，另</w:t>
      </w:r>
      <w:r>
        <w:rPr>
          <w:rFonts w:hint="eastAsia" w:ascii="仿宋" w:hAnsi="仿宋" w:eastAsia="仿宋" w:cs="Times New Roman"/>
          <w:sz w:val="30"/>
          <w:szCs w:val="30"/>
        </w:rPr>
        <w:t>非财政拨款的资金分流了</w:t>
      </w:r>
      <w:r>
        <w:rPr>
          <w:rFonts w:hint="eastAsia" w:ascii="仿宋" w:hAnsi="仿宋" w:eastAsia="仿宋" w:cs="Times New Roman"/>
          <w:sz w:val="30"/>
          <w:szCs w:val="30"/>
          <w:lang w:eastAsia="zh-CN"/>
        </w:rPr>
        <w:t>部分</w:t>
      </w:r>
      <w:r>
        <w:rPr>
          <w:rFonts w:hint="eastAsia" w:ascii="仿宋" w:hAnsi="仿宋" w:eastAsia="仿宋" w:cs="Times New Roman"/>
          <w:sz w:val="30"/>
          <w:szCs w:val="30"/>
        </w:rPr>
        <w:t>财政拨款支出</w:t>
      </w:r>
      <w:r>
        <w:rPr>
          <w:rFonts w:hint="eastAsia" w:ascii="仿宋" w:hAnsi="仿宋" w:eastAsia="仿宋" w:cs="Times New Roman"/>
          <w:sz w:val="30"/>
          <w:szCs w:val="30"/>
          <w:lang w:eastAsia="zh-CN"/>
        </w:rPr>
        <w:t>中的公用费用；</w:t>
      </w:r>
    </w:p>
    <w:p>
      <w:pPr>
        <w:widowControl w:val="0"/>
        <w:ind w:firstLine="630"/>
        <w:jc w:val="left"/>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（三）</w:t>
      </w:r>
      <w:r>
        <w:rPr>
          <w:rFonts w:hint="eastAsia" w:ascii="仿宋" w:hAnsi="仿宋" w:eastAsia="仿宋" w:cs="Times New Roman"/>
          <w:sz w:val="30"/>
          <w:szCs w:val="30"/>
        </w:rPr>
        <w:t>对个人和家庭补助支出</w:t>
      </w:r>
      <w:r>
        <w:rPr>
          <w:rFonts w:hint="eastAsia" w:ascii="仿宋" w:hAnsi="仿宋" w:eastAsia="仿宋" w:cs="Times New Roman"/>
          <w:sz w:val="30"/>
          <w:szCs w:val="30"/>
          <w:lang w:val="en-US" w:eastAsia="zh-CN"/>
        </w:rPr>
        <w:t>17.89</w:t>
      </w:r>
      <w:r>
        <w:rPr>
          <w:rFonts w:hint="eastAsia" w:ascii="仿宋" w:hAnsi="仿宋" w:eastAsia="仿宋" w:cs="Times New Roman"/>
          <w:sz w:val="30"/>
          <w:szCs w:val="30"/>
        </w:rPr>
        <w:t>万元，较上年</w:t>
      </w:r>
      <w:r>
        <w:rPr>
          <w:rFonts w:hint="eastAsia" w:ascii="仿宋" w:hAnsi="仿宋" w:eastAsia="仿宋" w:cs="Times New Roman"/>
          <w:sz w:val="30"/>
          <w:szCs w:val="30"/>
          <w:lang w:eastAsia="zh-CN"/>
        </w:rPr>
        <w:t>增加</w:t>
      </w:r>
      <w:r>
        <w:rPr>
          <w:rFonts w:hint="eastAsia" w:ascii="仿宋" w:hAnsi="仿宋" w:eastAsia="仿宋" w:cs="Times New Roman"/>
          <w:sz w:val="30"/>
          <w:szCs w:val="30"/>
          <w:lang w:val="en-US" w:eastAsia="zh-CN"/>
        </w:rPr>
        <w:t>10.49</w:t>
      </w:r>
      <w:r>
        <w:rPr>
          <w:rFonts w:hint="eastAsia" w:ascii="仿宋" w:hAnsi="仿宋" w:eastAsia="仿宋" w:cs="Times New Roman"/>
          <w:sz w:val="30"/>
          <w:szCs w:val="30"/>
        </w:rPr>
        <w:t>万元，</w:t>
      </w:r>
      <w:r>
        <w:rPr>
          <w:rFonts w:hint="eastAsia" w:ascii="仿宋" w:hAnsi="仿宋" w:eastAsia="仿宋" w:cs="Times New Roman"/>
          <w:sz w:val="30"/>
          <w:szCs w:val="30"/>
          <w:lang w:eastAsia="zh-CN"/>
        </w:rPr>
        <w:t>增长</w:t>
      </w:r>
      <w:r>
        <w:rPr>
          <w:rFonts w:hint="eastAsia" w:ascii="仿宋" w:hAnsi="仿宋" w:eastAsia="仿宋" w:cs="Times New Roman"/>
          <w:sz w:val="30"/>
          <w:szCs w:val="30"/>
          <w:lang w:val="en-US" w:eastAsia="zh-CN"/>
        </w:rPr>
        <w:t>141.76</w:t>
      </w:r>
      <w:r>
        <w:rPr>
          <w:rFonts w:hint="eastAsia" w:ascii="仿宋" w:hAnsi="仿宋" w:eastAsia="仿宋" w:cs="Times New Roman"/>
          <w:sz w:val="30"/>
          <w:szCs w:val="30"/>
        </w:rPr>
        <w:t xml:space="preserve"> %，主要原因是：</w:t>
      </w:r>
      <w:r>
        <w:rPr>
          <w:rFonts w:hint="eastAsia" w:ascii="仿宋" w:hAnsi="仿宋" w:eastAsia="仿宋" w:cs="Times New Roman"/>
          <w:sz w:val="30"/>
          <w:szCs w:val="30"/>
          <w:lang w:eastAsia="zh-CN"/>
        </w:rPr>
        <w:t>退休人员奖金发放标准按政策有了大幅提高，另本年度退休人员增加了绩效考核奖；</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lang w:eastAsia="zh-CN"/>
        </w:rPr>
        <w:t>（四）</w:t>
      </w:r>
      <w:r>
        <w:rPr>
          <w:rFonts w:hint="eastAsia" w:ascii="仿宋" w:hAnsi="仿宋" w:eastAsia="仿宋" w:cs="Times New Roman"/>
          <w:sz w:val="30"/>
          <w:szCs w:val="30"/>
        </w:rPr>
        <w:t>资本性支出0万元万元，</w:t>
      </w:r>
      <w:r>
        <w:rPr>
          <w:rFonts w:hint="eastAsia" w:ascii="仿宋" w:hAnsi="仿宋" w:eastAsia="仿宋" w:cs="Times New Roman"/>
          <w:sz w:val="30"/>
          <w:szCs w:val="30"/>
          <w:lang w:eastAsia="zh-CN"/>
        </w:rPr>
        <w:t>与去年一致，主要原因是：</w:t>
      </w:r>
      <w:r>
        <w:rPr>
          <w:rFonts w:hint="eastAsia" w:ascii="仿宋" w:hAnsi="仿宋" w:eastAsia="仿宋" w:cs="Times New Roman"/>
          <w:sz w:val="30"/>
          <w:szCs w:val="30"/>
        </w:rPr>
        <w:t>今年去年都没有在财政拨款中安排开支</w:t>
      </w:r>
      <w:r>
        <w:rPr>
          <w:rFonts w:hint="eastAsia" w:ascii="仿宋" w:hAnsi="仿宋" w:eastAsia="仿宋" w:cs="Times New Roman"/>
          <w:sz w:val="30"/>
          <w:szCs w:val="30"/>
          <w:lang w:eastAsia="zh-CN"/>
        </w:rPr>
        <w:t>，财政拨款资金主要用在保民生方面</w:t>
      </w:r>
      <w:r>
        <w:rPr>
          <w:rFonts w:hint="eastAsia" w:ascii="仿宋" w:hAnsi="仿宋" w:eastAsia="仿宋" w:cs="Times New Roman"/>
          <w:sz w:val="30"/>
          <w:szCs w:val="30"/>
        </w:rPr>
        <w:t>。</w:t>
      </w:r>
    </w:p>
    <w:p>
      <w:pPr>
        <w:widowControl w:val="0"/>
        <w:ind w:firstLine="630"/>
        <w:jc w:val="left"/>
        <w:rPr>
          <w:rFonts w:hint="eastAsia" w:ascii="仿宋" w:hAnsi="仿宋" w:eastAsia="仿宋" w:cs="Times New Roman"/>
          <w:sz w:val="30"/>
          <w:szCs w:val="30"/>
        </w:rPr>
      </w:pPr>
    </w:p>
    <w:p>
      <w:pPr>
        <w:spacing w:line="360" w:lineRule="auto"/>
        <w:ind w:left="630"/>
        <w:jc w:val="left"/>
        <w:rPr>
          <w:rFonts w:ascii="新宋体" w:hAnsi="新宋体" w:eastAsia="新宋体"/>
          <w:sz w:val="30"/>
          <w:szCs w:val="30"/>
        </w:rPr>
      </w:pPr>
      <w:r>
        <w:rPr>
          <w:rFonts w:hint="eastAsia" w:ascii="黑体" w:hAnsi="黑体" w:eastAsia="黑体" w:cs="黑体"/>
          <w:sz w:val="30"/>
          <w:szCs w:val="30"/>
        </w:rPr>
        <w:t>五</w:t>
      </w:r>
      <w:r>
        <w:rPr>
          <w:rFonts w:hint="eastAsia" w:ascii="黑体" w:hAnsi="黑体" w:eastAsia="黑体" w:cs="Times New Roman"/>
          <w:sz w:val="30"/>
          <w:szCs w:val="30"/>
        </w:rPr>
        <w:t>、一般公共预算财政拨款“三公”经费支出决算情况说明</w:t>
      </w:r>
    </w:p>
    <w:p>
      <w:pPr>
        <w:widowControl w:val="0"/>
        <w:ind w:firstLine="630"/>
        <w:jc w:val="left"/>
        <w:rPr>
          <w:rFonts w:hint="eastAsia" w:ascii="仿宋_GB2312" w:hAnsi="仿宋_GB2312" w:eastAsia="仿宋" w:cs="仿宋_GB2312"/>
          <w:sz w:val="30"/>
          <w:szCs w:val="30"/>
          <w:lang w:eastAsia="zh-CN"/>
        </w:rPr>
      </w:pPr>
      <w:r>
        <w:rPr>
          <w:rFonts w:hint="eastAsia" w:ascii="仿宋" w:hAnsi="仿宋" w:eastAsia="仿宋" w:cs="Times New Roman"/>
          <w:sz w:val="30"/>
          <w:szCs w:val="30"/>
        </w:rPr>
        <w:t>本单位201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年度一般公共预算财政拨款“三公”经费支出年初预算数为</w:t>
      </w:r>
      <w:r>
        <w:rPr>
          <w:rFonts w:hint="eastAsia" w:ascii="仿宋" w:hAnsi="仿宋" w:eastAsia="仿宋" w:cs="Times New Roman"/>
          <w:sz w:val="30"/>
          <w:szCs w:val="30"/>
          <w:lang w:val="en-US" w:eastAsia="zh-CN"/>
        </w:rPr>
        <w:t>0</w:t>
      </w:r>
      <w:r>
        <w:rPr>
          <w:rFonts w:hint="eastAsia" w:ascii="仿宋" w:hAnsi="仿宋" w:eastAsia="仿宋" w:cs="Times New Roman"/>
          <w:sz w:val="30"/>
          <w:szCs w:val="30"/>
        </w:rPr>
        <w:t>万元，决算数为</w:t>
      </w:r>
      <w:r>
        <w:rPr>
          <w:rFonts w:hint="eastAsia" w:ascii="仿宋" w:hAnsi="仿宋" w:eastAsia="仿宋" w:cs="Times New Roman"/>
          <w:sz w:val="30"/>
          <w:szCs w:val="30"/>
          <w:lang w:val="en-US" w:eastAsia="zh-CN"/>
        </w:rPr>
        <w:t>0</w:t>
      </w:r>
      <w:r>
        <w:rPr>
          <w:rFonts w:hint="eastAsia" w:ascii="仿宋" w:hAnsi="仿宋" w:eastAsia="仿宋" w:cs="Times New Roman"/>
          <w:sz w:val="30"/>
          <w:szCs w:val="30"/>
        </w:rPr>
        <w:t>万元，主要原因：</w:t>
      </w:r>
      <w:r>
        <w:rPr>
          <w:rFonts w:hint="eastAsia" w:ascii="仿宋" w:hAnsi="仿宋" w:eastAsia="仿宋" w:cs="Times New Roman"/>
          <w:sz w:val="30"/>
          <w:szCs w:val="30"/>
          <w:lang w:eastAsia="zh-CN"/>
        </w:rPr>
        <w:t>本年度单位施行了公车改革，公务用车运行维护费不再有费用，个人交通补贴及单位公务交通经费财政拨款资金不予安排（由其他资金安排）；因公出国（境）费及公务接待费财政拨款资金中本年度既没有安排预算也没有支出。</w:t>
      </w:r>
      <w:r>
        <w:rPr>
          <w:rFonts w:hint="eastAsia" w:ascii="仿宋" w:hAnsi="仿宋" w:eastAsia="仿宋" w:cs="Times New Roman"/>
          <w:sz w:val="30"/>
          <w:szCs w:val="30"/>
        </w:rPr>
        <w:t>“三公”经费支出</w:t>
      </w:r>
      <w:r>
        <w:rPr>
          <w:rFonts w:hint="eastAsia" w:ascii="仿宋" w:hAnsi="仿宋" w:eastAsia="仿宋" w:cs="Times New Roman"/>
          <w:sz w:val="30"/>
          <w:szCs w:val="30"/>
          <w:lang w:eastAsia="zh-CN"/>
        </w:rPr>
        <w:t>全部安排在其他资金中。</w:t>
      </w:r>
    </w:p>
    <w:p>
      <w:pPr>
        <w:widowControl w:val="0"/>
        <w:ind w:firstLine="630"/>
        <w:jc w:val="left"/>
        <w:rPr>
          <w:rFonts w:hint="eastAsia" w:ascii="仿宋" w:hAnsi="仿宋" w:eastAsia="仿宋" w:cs="Times New Roman"/>
          <w:sz w:val="30"/>
          <w:szCs w:val="30"/>
          <w:lang w:eastAsia="zh-CN"/>
        </w:rPr>
      </w:pPr>
    </w:p>
    <w:p>
      <w:pPr>
        <w:spacing w:line="360" w:lineRule="auto"/>
        <w:ind w:left="630"/>
        <w:jc w:val="left"/>
        <w:rPr>
          <w:rFonts w:ascii="新宋体" w:hAnsi="新宋体" w:eastAsia="新宋体"/>
          <w:sz w:val="28"/>
          <w:szCs w:val="28"/>
        </w:rPr>
      </w:pPr>
      <w:r>
        <w:rPr>
          <w:rFonts w:hint="eastAsia" w:ascii="黑体" w:hAnsi="黑体" w:eastAsia="黑体" w:cs="黑体"/>
          <w:sz w:val="30"/>
          <w:szCs w:val="30"/>
        </w:rPr>
        <w:t>六、机关运行经费情况说明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本单位为教育单位，属成人高校。201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年度财政拨款的机关运行经费支出</w:t>
      </w:r>
      <w:r>
        <w:rPr>
          <w:rFonts w:hint="eastAsia" w:ascii="仿宋" w:hAnsi="仿宋" w:eastAsia="仿宋" w:cs="Times New Roman"/>
          <w:sz w:val="30"/>
          <w:szCs w:val="30"/>
          <w:lang w:val="en-US" w:eastAsia="zh-CN"/>
        </w:rPr>
        <w:t>4.91</w:t>
      </w:r>
      <w:r>
        <w:rPr>
          <w:rFonts w:hint="eastAsia" w:ascii="仿宋" w:hAnsi="仿宋" w:eastAsia="仿宋" w:cs="Times New Roman"/>
          <w:sz w:val="30"/>
          <w:szCs w:val="30"/>
        </w:rPr>
        <w:t>万元，</w:t>
      </w:r>
      <w:r>
        <w:rPr>
          <w:rFonts w:hint="eastAsia" w:ascii="仿宋" w:hAnsi="仿宋" w:eastAsia="仿宋"/>
          <w:sz w:val="30"/>
          <w:szCs w:val="30"/>
        </w:rPr>
        <w:t>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12.79万元，下降72.26%，</w:t>
      </w:r>
      <w:r>
        <w:rPr>
          <w:rFonts w:hint="eastAsia" w:ascii="仿宋" w:hAnsi="仿宋" w:eastAsia="仿宋" w:cs="Times New Roman"/>
          <w:sz w:val="30"/>
          <w:szCs w:val="30"/>
        </w:rPr>
        <w:t>比</w:t>
      </w:r>
      <w:r>
        <w:rPr>
          <w:rFonts w:hint="eastAsia" w:ascii="仿宋" w:hAnsi="仿宋" w:eastAsia="仿宋" w:cs="Times New Roman"/>
          <w:sz w:val="30"/>
          <w:szCs w:val="30"/>
          <w:lang w:eastAsia="zh-CN"/>
        </w:rPr>
        <w:t>上年支出减少</w:t>
      </w:r>
      <w:r>
        <w:rPr>
          <w:rFonts w:hint="eastAsia" w:ascii="仿宋" w:hAnsi="仿宋" w:eastAsia="仿宋" w:cs="Times New Roman"/>
          <w:sz w:val="30"/>
          <w:szCs w:val="30"/>
          <w:lang w:val="en-US" w:eastAsia="zh-CN"/>
        </w:rPr>
        <w:t>20.12</w:t>
      </w:r>
      <w:r>
        <w:rPr>
          <w:rFonts w:hint="eastAsia" w:ascii="仿宋" w:hAnsi="仿宋" w:eastAsia="仿宋" w:cs="Times New Roman"/>
          <w:sz w:val="30"/>
          <w:szCs w:val="30"/>
        </w:rPr>
        <w:t>万元，</w:t>
      </w:r>
      <w:r>
        <w:rPr>
          <w:rFonts w:hint="eastAsia" w:ascii="仿宋" w:hAnsi="仿宋" w:eastAsia="仿宋" w:cs="Times New Roman"/>
          <w:sz w:val="30"/>
          <w:szCs w:val="30"/>
          <w:lang w:eastAsia="zh-CN"/>
        </w:rPr>
        <w:t>下降</w:t>
      </w:r>
      <w:r>
        <w:rPr>
          <w:rFonts w:hint="eastAsia" w:ascii="仿宋" w:hAnsi="仿宋" w:eastAsia="仿宋" w:cs="Times New Roman"/>
          <w:sz w:val="30"/>
          <w:szCs w:val="30"/>
          <w:lang w:val="en-US" w:eastAsia="zh-CN"/>
        </w:rPr>
        <w:t>80.38</w:t>
      </w:r>
      <w:r>
        <w:rPr>
          <w:rFonts w:hint="eastAsia" w:ascii="仿宋" w:hAnsi="仿宋" w:eastAsia="仿宋" w:cs="Times New Roman"/>
          <w:sz w:val="30"/>
          <w:szCs w:val="30"/>
        </w:rPr>
        <w:t>%，主要原因是：</w:t>
      </w:r>
      <w:r>
        <w:rPr>
          <w:rFonts w:hint="eastAsia" w:ascii="仿宋" w:hAnsi="仿宋" w:eastAsia="仿宋" w:cs="Times New Roman"/>
          <w:sz w:val="30"/>
          <w:szCs w:val="30"/>
          <w:lang w:eastAsia="zh-CN"/>
        </w:rPr>
        <w:t>本年度单位施行了公车改革，公务用运行维护费没有费用产生，另</w:t>
      </w:r>
      <w:r>
        <w:rPr>
          <w:rFonts w:hint="eastAsia" w:ascii="仿宋" w:hAnsi="仿宋" w:eastAsia="仿宋" w:cs="Times New Roman"/>
          <w:sz w:val="30"/>
          <w:szCs w:val="30"/>
        </w:rPr>
        <w:t>非财政拨款的资金分流了</w:t>
      </w:r>
      <w:r>
        <w:rPr>
          <w:rFonts w:hint="eastAsia" w:ascii="仿宋" w:hAnsi="仿宋" w:eastAsia="仿宋" w:cs="Times New Roman"/>
          <w:sz w:val="30"/>
          <w:szCs w:val="30"/>
          <w:lang w:eastAsia="zh-CN"/>
        </w:rPr>
        <w:t>部分</w:t>
      </w:r>
      <w:r>
        <w:rPr>
          <w:rFonts w:hint="eastAsia" w:ascii="仿宋" w:hAnsi="仿宋" w:eastAsia="仿宋" w:cs="Times New Roman"/>
          <w:sz w:val="30"/>
          <w:szCs w:val="30"/>
        </w:rPr>
        <w:t>财政拨款支出</w:t>
      </w:r>
      <w:r>
        <w:rPr>
          <w:rFonts w:hint="eastAsia" w:ascii="仿宋" w:hAnsi="仿宋" w:eastAsia="仿宋" w:cs="Times New Roman"/>
          <w:sz w:val="30"/>
          <w:szCs w:val="30"/>
          <w:lang w:eastAsia="zh-CN"/>
        </w:rPr>
        <w:t>中的公用费用。</w:t>
      </w:r>
    </w:p>
    <w:p>
      <w:pPr>
        <w:spacing w:line="360" w:lineRule="auto"/>
        <w:ind w:left="560"/>
        <w:jc w:val="left"/>
        <w:rPr>
          <w:rFonts w:ascii="宋体"/>
          <w:sz w:val="30"/>
          <w:szCs w:val="30"/>
        </w:rPr>
      </w:pPr>
    </w:p>
    <w:p>
      <w:pPr>
        <w:spacing w:line="360" w:lineRule="auto"/>
        <w:ind w:left="560"/>
        <w:jc w:val="left"/>
        <w:rPr>
          <w:rFonts w:ascii="新宋体" w:hAnsi="新宋体" w:eastAsia="新宋体"/>
          <w:sz w:val="30"/>
          <w:szCs w:val="30"/>
        </w:rPr>
      </w:pPr>
      <w:r>
        <w:rPr>
          <w:rFonts w:hint="eastAsia" w:ascii="黑体" w:hAnsi="黑体" w:eastAsia="黑体" w:cs="黑体"/>
          <w:sz w:val="30"/>
          <w:szCs w:val="30"/>
        </w:rPr>
        <w:t>七、政府采购支出情况说明</w:t>
      </w:r>
    </w:p>
    <w:p>
      <w:pPr>
        <w:widowControl w:val="0"/>
        <w:ind w:firstLine="630"/>
        <w:jc w:val="left"/>
        <w:rPr>
          <w:rFonts w:hint="eastAsia" w:ascii="仿宋" w:hAnsi="仿宋" w:eastAsia="仿宋" w:cs="Times New Roman"/>
          <w:sz w:val="30"/>
          <w:szCs w:val="30"/>
          <w:lang w:eastAsia="zh-CN"/>
        </w:rPr>
      </w:pPr>
      <w:r>
        <w:rPr>
          <w:rFonts w:hint="eastAsia" w:ascii="仿宋" w:hAnsi="仿宋" w:eastAsia="仿宋" w:cs="Times New Roman"/>
          <w:sz w:val="30"/>
          <w:szCs w:val="30"/>
        </w:rPr>
        <w:t>本单位201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年度政府采购支出总额</w:t>
      </w:r>
      <w:r>
        <w:rPr>
          <w:rFonts w:hint="eastAsia" w:ascii="仿宋" w:hAnsi="仿宋" w:eastAsia="仿宋" w:cs="Times New Roman"/>
          <w:sz w:val="30"/>
          <w:szCs w:val="30"/>
          <w:lang w:val="en-US" w:eastAsia="zh-CN"/>
        </w:rPr>
        <w:t>59.25</w:t>
      </w:r>
      <w:r>
        <w:rPr>
          <w:rFonts w:hint="eastAsia" w:ascii="仿宋" w:hAnsi="仿宋" w:eastAsia="仿宋" w:cs="Times New Roman"/>
          <w:sz w:val="30"/>
          <w:szCs w:val="30"/>
        </w:rPr>
        <w:t>万元，其中：政府采购货物支出</w:t>
      </w:r>
      <w:r>
        <w:rPr>
          <w:rFonts w:hint="eastAsia" w:ascii="仿宋" w:hAnsi="仿宋" w:eastAsia="仿宋" w:cs="Times New Roman"/>
          <w:sz w:val="30"/>
          <w:szCs w:val="30"/>
          <w:lang w:val="en-US" w:eastAsia="zh-CN"/>
        </w:rPr>
        <w:t>59.25</w:t>
      </w:r>
      <w:r>
        <w:rPr>
          <w:rFonts w:hint="eastAsia" w:ascii="仿宋" w:hAnsi="仿宋" w:eastAsia="仿宋" w:cs="Times New Roman"/>
          <w:sz w:val="30"/>
          <w:szCs w:val="30"/>
        </w:rPr>
        <w:t>万元、政府采购工程支出</w:t>
      </w:r>
      <w:r>
        <w:rPr>
          <w:rFonts w:hint="eastAsia" w:ascii="仿宋" w:hAnsi="仿宋" w:eastAsia="仿宋" w:cs="Times New Roman"/>
          <w:sz w:val="30"/>
          <w:szCs w:val="30"/>
          <w:lang w:val="en-US" w:eastAsia="zh-CN"/>
        </w:rPr>
        <w:t>0</w:t>
      </w:r>
      <w:r>
        <w:rPr>
          <w:rFonts w:hint="eastAsia" w:ascii="仿宋" w:hAnsi="仿宋" w:eastAsia="仿宋" w:cs="Times New Roman"/>
          <w:sz w:val="30"/>
          <w:szCs w:val="30"/>
        </w:rPr>
        <w:t xml:space="preserve">万元、政府采购服务支出0万元。授予中小企业合同金额 </w:t>
      </w:r>
      <w:r>
        <w:rPr>
          <w:rFonts w:hint="eastAsia" w:ascii="仿宋" w:hAnsi="仿宋" w:eastAsia="仿宋" w:cs="Times New Roman"/>
          <w:sz w:val="30"/>
          <w:szCs w:val="30"/>
          <w:lang w:val="en-US" w:eastAsia="zh-CN"/>
        </w:rPr>
        <w:t>59.25</w:t>
      </w:r>
      <w:r>
        <w:rPr>
          <w:rFonts w:hint="eastAsia" w:ascii="仿宋" w:hAnsi="仿宋" w:eastAsia="仿宋" w:cs="Times New Roman"/>
          <w:sz w:val="30"/>
          <w:szCs w:val="30"/>
        </w:rPr>
        <w:t xml:space="preserve"> 万元</w:t>
      </w:r>
      <w:r>
        <w:rPr>
          <w:rFonts w:hint="eastAsia" w:ascii="仿宋" w:hAnsi="仿宋" w:eastAsia="仿宋" w:cs="Times New Roman"/>
          <w:sz w:val="30"/>
          <w:szCs w:val="30"/>
          <w:lang w:eastAsia="zh-CN"/>
        </w:rPr>
        <w:t>，</w:t>
      </w:r>
      <w:r>
        <w:rPr>
          <w:rFonts w:hint="eastAsia" w:ascii="仿宋" w:hAnsi="仿宋" w:eastAsia="仿宋"/>
          <w:sz w:val="30"/>
          <w:szCs w:val="30"/>
        </w:rPr>
        <w:t>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 xml:space="preserve"> %。</w:t>
      </w:r>
    </w:p>
    <w:p>
      <w:pPr>
        <w:spacing w:line="360" w:lineRule="auto"/>
        <w:ind w:firstLine="600"/>
        <w:jc w:val="left"/>
        <w:rPr>
          <w:rFonts w:ascii="新宋体" w:hAnsi="新宋体" w:eastAsia="新宋体"/>
          <w:kern w:val="0"/>
          <w:sz w:val="28"/>
          <w:szCs w:val="28"/>
        </w:rPr>
      </w:pPr>
    </w:p>
    <w:p>
      <w:pPr>
        <w:tabs>
          <w:tab w:val="left" w:pos="908"/>
        </w:tabs>
        <w:snapToGrid w:val="0"/>
        <w:spacing w:line="360" w:lineRule="auto"/>
        <w:ind w:left="420" w:leftChars="200"/>
        <w:jc w:val="left"/>
        <w:rPr>
          <w:rFonts w:ascii="宋体"/>
          <w:kern w:val="0"/>
          <w:sz w:val="30"/>
          <w:szCs w:val="30"/>
        </w:rPr>
      </w:pPr>
      <w:r>
        <w:rPr>
          <w:rFonts w:hint="eastAsia" w:ascii="黑体" w:hAnsi="黑体" w:eastAsia="黑体" w:cs="黑体"/>
          <w:kern w:val="0"/>
          <w:sz w:val="30"/>
          <w:szCs w:val="30"/>
        </w:rPr>
        <w:t>八、政府性基金预算财政拨款收入支出决算说明</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年度财政没有安排给付我单位政府性基金款，也没有该方面的支出发生，故没有相关数据。</w:t>
      </w:r>
    </w:p>
    <w:p>
      <w:pPr>
        <w:snapToGrid w:val="0"/>
        <w:spacing w:line="360" w:lineRule="auto"/>
        <w:ind w:firstLine="600" w:firstLineChars="200"/>
        <w:jc w:val="left"/>
        <w:rPr>
          <w:rFonts w:ascii="宋体"/>
          <w:kern w:val="0"/>
          <w:sz w:val="30"/>
          <w:szCs w:val="30"/>
        </w:rPr>
      </w:pPr>
    </w:p>
    <w:p>
      <w:pPr>
        <w:spacing w:line="360" w:lineRule="auto"/>
        <w:ind w:left="420" w:leftChars="200"/>
        <w:jc w:val="left"/>
        <w:rPr>
          <w:rFonts w:ascii="黑体" w:hAnsi="黑体" w:eastAsia="黑体"/>
          <w:sz w:val="30"/>
          <w:szCs w:val="30"/>
        </w:rPr>
      </w:pPr>
      <w:r>
        <w:rPr>
          <w:rFonts w:hint="eastAsia" w:ascii="黑体" w:hAnsi="黑体" w:eastAsia="黑体" w:cs="黑体"/>
          <w:sz w:val="30"/>
          <w:szCs w:val="30"/>
        </w:rPr>
        <w:t>九、国有资产占用情况说明</w:t>
      </w:r>
    </w:p>
    <w:p>
      <w:pPr>
        <w:keepNext w:val="0"/>
        <w:keepLines w:val="0"/>
        <w:pageBreakBefore w:val="0"/>
        <w:widowControl w:val="0"/>
        <w:kinsoku/>
        <w:wordWrap/>
        <w:overflowPunct/>
        <w:topLinePunct w:val="0"/>
        <w:autoSpaceDE/>
        <w:autoSpaceDN/>
        <w:bidi w:val="0"/>
        <w:adjustRightInd/>
        <w:snapToGrid/>
        <w:ind w:firstLine="629"/>
        <w:jc w:val="left"/>
        <w:textAlignment w:val="auto"/>
        <w:rPr>
          <w:rFonts w:hint="eastAsia" w:ascii="仿宋" w:hAnsi="仿宋" w:eastAsia="仿宋" w:cs="Times New Roman"/>
          <w:sz w:val="30"/>
          <w:szCs w:val="30"/>
        </w:rPr>
      </w:pPr>
      <w:r>
        <w:rPr>
          <w:rFonts w:hint="eastAsia" w:ascii="仿宋" w:hAnsi="仿宋" w:eastAsia="仿宋" w:cs="Times New Roman"/>
          <w:sz w:val="30"/>
          <w:szCs w:val="30"/>
        </w:rPr>
        <w:t>截至201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w:t>
      </w:r>
      <w:r>
        <w:rPr>
          <w:rFonts w:hint="eastAsia" w:ascii="仿宋" w:hAnsi="仿宋" w:eastAsia="仿宋" w:cs="Times New Roman"/>
          <w:sz w:val="30"/>
          <w:szCs w:val="30"/>
          <w:lang w:eastAsia="zh-CN"/>
        </w:rPr>
        <w:t>底</w:t>
      </w:r>
      <w:r>
        <w:rPr>
          <w:rFonts w:hint="eastAsia" w:ascii="仿宋" w:hAnsi="仿宋" w:eastAsia="仿宋" w:cs="Times New Roman"/>
          <w:sz w:val="30"/>
          <w:szCs w:val="30"/>
        </w:rPr>
        <w:t>，</w:t>
      </w:r>
      <w:r>
        <w:rPr>
          <w:rFonts w:hint="eastAsia" w:ascii="仿宋" w:hAnsi="仿宋" w:eastAsia="仿宋"/>
          <w:kern w:val="0"/>
          <w:sz w:val="30"/>
          <w:szCs w:val="30"/>
        </w:rPr>
        <w:t>本部门</w:t>
      </w:r>
      <w:r>
        <w:rPr>
          <w:rFonts w:hint="eastAsia" w:ascii="仿宋" w:hAnsi="仿宋" w:eastAsia="仿宋"/>
          <w:kern w:val="0"/>
          <w:sz w:val="30"/>
          <w:szCs w:val="30"/>
          <w:lang w:val="en-US" w:eastAsia="zh-CN"/>
        </w:rPr>
        <w:t>国有资产占用情况见公开09表《国有资产占用情况表》。</w:t>
      </w:r>
      <w:r>
        <w:rPr>
          <w:rFonts w:hint="eastAsia" w:ascii="仿宋" w:hAnsi="仿宋" w:eastAsia="仿宋" w:cs="Times New Roman"/>
          <w:sz w:val="30"/>
          <w:szCs w:val="30"/>
        </w:rPr>
        <w:t>本</w:t>
      </w:r>
      <w:r>
        <w:rPr>
          <w:rFonts w:hint="eastAsia" w:ascii="仿宋" w:hAnsi="仿宋" w:eastAsia="仿宋" w:cs="Times New Roman"/>
          <w:sz w:val="30"/>
          <w:szCs w:val="30"/>
          <w:lang w:eastAsia="zh-CN"/>
        </w:rPr>
        <w:t>部门资产账上</w:t>
      </w:r>
      <w:r>
        <w:rPr>
          <w:rFonts w:hint="eastAsia" w:ascii="仿宋" w:hAnsi="仿宋" w:eastAsia="仿宋" w:cs="Times New Roman"/>
          <w:sz w:val="30"/>
          <w:szCs w:val="30"/>
        </w:rPr>
        <w:t>共有车辆3辆，</w:t>
      </w:r>
      <w:r>
        <w:rPr>
          <w:rFonts w:hint="eastAsia" w:ascii="仿宋" w:hAnsi="仿宋" w:eastAsia="仿宋" w:cs="Times New Roman"/>
          <w:sz w:val="30"/>
          <w:szCs w:val="30"/>
          <w:lang w:eastAsia="zh-CN"/>
        </w:rPr>
        <w:t>去年</w:t>
      </w:r>
      <w:r>
        <w:rPr>
          <w:rFonts w:hint="eastAsia" w:ascii="仿宋" w:hAnsi="仿宋" w:eastAsia="仿宋" w:cs="Times New Roman"/>
          <w:sz w:val="30"/>
          <w:szCs w:val="30"/>
        </w:rPr>
        <w:t>12月初按市车改办要求3辆公务用车已移交</w:t>
      </w:r>
      <w:r>
        <w:rPr>
          <w:rFonts w:hint="eastAsia" w:ascii="仿宋" w:hAnsi="仿宋" w:eastAsia="仿宋" w:cs="Times New Roman"/>
          <w:sz w:val="30"/>
          <w:szCs w:val="30"/>
          <w:lang w:eastAsia="zh-CN"/>
        </w:rPr>
        <w:t>至</w:t>
      </w:r>
      <w:r>
        <w:rPr>
          <w:rFonts w:hint="eastAsia" w:ascii="仿宋" w:hAnsi="仿宋" w:eastAsia="仿宋" w:cs="Times New Roman"/>
          <w:sz w:val="30"/>
          <w:szCs w:val="30"/>
        </w:rPr>
        <w:t>市机关事务管理局</w:t>
      </w:r>
      <w:r>
        <w:rPr>
          <w:rFonts w:hint="eastAsia" w:ascii="仿宋" w:hAnsi="仿宋" w:eastAsia="仿宋" w:cs="Times New Roman"/>
          <w:sz w:val="30"/>
          <w:szCs w:val="30"/>
          <w:lang w:eastAsia="zh-CN"/>
        </w:rPr>
        <w:t>但尚未办理资产减少手续</w:t>
      </w:r>
      <w:r>
        <w:rPr>
          <w:rFonts w:hint="eastAsia" w:ascii="仿宋" w:hAnsi="仿宋" w:eastAsia="仿宋" w:cs="Times New Roman"/>
          <w:sz w:val="30"/>
          <w:szCs w:val="30"/>
        </w:rPr>
        <w:t>。价值50万元以上通用设备无，单价100万元以上专用设备无。</w:t>
      </w:r>
    </w:p>
    <w:p>
      <w:pPr>
        <w:spacing w:line="360" w:lineRule="auto"/>
        <w:ind w:firstLine="643" w:firstLineChars="200"/>
        <w:jc w:val="left"/>
        <w:rPr>
          <w:rFonts w:ascii="黑体" w:hAnsi="黑体" w:eastAsia="黑体"/>
          <w:b/>
          <w:bCs/>
          <w:kern w:val="0"/>
          <w:sz w:val="32"/>
          <w:szCs w:val="32"/>
        </w:rPr>
      </w:pPr>
    </w:p>
    <w:p>
      <w:pPr>
        <w:numPr>
          <w:ilvl w:val="0"/>
          <w:numId w:val="2"/>
        </w:numPr>
        <w:spacing w:line="360" w:lineRule="auto"/>
        <w:ind w:firstLine="600" w:firstLineChars="200"/>
        <w:jc w:val="left"/>
        <w:rPr>
          <w:rFonts w:ascii="黑体" w:hAnsi="黑体" w:eastAsia="黑体"/>
          <w:sz w:val="30"/>
          <w:szCs w:val="30"/>
        </w:rPr>
      </w:pPr>
      <w:r>
        <w:rPr>
          <w:rFonts w:hint="eastAsia" w:ascii="黑体" w:hAnsi="黑体" w:eastAsia="黑体" w:cs="黑体"/>
          <w:sz w:val="30"/>
          <w:szCs w:val="30"/>
        </w:rPr>
        <w:t>预算绩效情况说明</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default" w:ascii="黑体" w:hAnsi="黑体" w:eastAsia="黑体"/>
          <w:sz w:val="30"/>
          <w:szCs w:val="30"/>
          <w:lang w:val="en-US" w:eastAsia="zh-CN"/>
        </w:rPr>
      </w:pPr>
      <w:r>
        <w:rPr>
          <w:rFonts w:hint="eastAsia" w:ascii="黑体" w:hAnsi="黑体" w:eastAsia="黑体" w:cs="黑体"/>
          <w:sz w:val="30"/>
          <w:szCs w:val="30"/>
          <w:lang w:val="en-US" w:eastAsia="zh-CN"/>
        </w:rPr>
        <w:t xml:space="preserve">    </w:t>
      </w:r>
      <w:r>
        <w:rPr>
          <w:rFonts w:hint="eastAsia" w:ascii="仿宋" w:hAnsi="仿宋" w:eastAsia="仿宋" w:cs="仿宋_GB2312"/>
          <w:kern w:val="0"/>
          <w:sz w:val="30"/>
          <w:szCs w:val="30"/>
        </w:rPr>
        <w:t>（一）绩效管理工作开展情况</w:t>
      </w:r>
    </w:p>
    <w:p>
      <w:pPr>
        <w:keepNext w:val="0"/>
        <w:keepLines w:val="0"/>
        <w:pageBreakBefore w:val="0"/>
        <w:widowControl/>
        <w:kinsoku/>
        <w:wordWrap/>
        <w:overflowPunct/>
        <w:topLinePunct w:val="0"/>
        <w:autoSpaceDE w:val="0"/>
        <w:autoSpaceDN w:val="0"/>
        <w:bidi w:val="0"/>
        <w:adjustRightInd w:val="0"/>
        <w:snapToGrid/>
        <w:spacing w:line="240" w:lineRule="auto"/>
        <w:ind w:firstLine="600" w:firstLineChars="200"/>
        <w:jc w:val="left"/>
        <w:textAlignment w:val="auto"/>
        <w:rPr>
          <w:rFonts w:hint="eastAsia" w:ascii="仿宋" w:hAnsi="仿宋" w:eastAsia="仿宋" w:cs="仿宋_GB2312"/>
          <w:kern w:val="0"/>
          <w:sz w:val="30"/>
          <w:szCs w:val="30"/>
        </w:rPr>
      </w:pPr>
      <w:r>
        <w:rPr>
          <w:rFonts w:hint="eastAsia" w:ascii="仿宋" w:hAnsi="仿宋" w:eastAsia="仿宋" w:cs="Times New Roman"/>
          <w:sz w:val="30"/>
          <w:szCs w:val="30"/>
        </w:rPr>
        <w:t>根据预算绩效管理要求，</w:t>
      </w:r>
      <w:r>
        <w:rPr>
          <w:rFonts w:hint="eastAsia" w:ascii="仿宋" w:hAnsi="仿宋" w:eastAsia="仿宋" w:cs="仿宋_GB2312"/>
          <w:kern w:val="0"/>
          <w:sz w:val="30"/>
          <w:szCs w:val="30"/>
        </w:rPr>
        <w:t>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年度一般公共预算项目支出开展绩效自评，</w:t>
      </w:r>
      <w:r>
        <w:rPr>
          <w:rFonts w:hint="eastAsia" w:ascii="仿宋" w:hAnsi="仿宋" w:eastAsia="仿宋" w:cs="Times New Roman"/>
          <w:sz w:val="30"/>
          <w:szCs w:val="30"/>
        </w:rPr>
        <w:t>我</w:t>
      </w:r>
      <w:r>
        <w:rPr>
          <w:rFonts w:hint="eastAsia" w:ascii="仿宋" w:hAnsi="仿宋" w:eastAsia="仿宋" w:cs="Times New Roman"/>
          <w:sz w:val="30"/>
          <w:szCs w:val="30"/>
          <w:lang w:eastAsia="zh-CN"/>
        </w:rPr>
        <w:t>部门</w:t>
      </w:r>
      <w:r>
        <w:rPr>
          <w:rFonts w:hint="eastAsia" w:ascii="仿宋" w:hAnsi="仿宋" w:eastAsia="仿宋" w:cs="Times New Roman"/>
          <w:sz w:val="30"/>
          <w:szCs w:val="30"/>
        </w:rPr>
        <w:t>201</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年度没有符合要求的一般公共预算项目支出的</w:t>
      </w:r>
      <w:r>
        <w:rPr>
          <w:rFonts w:hint="eastAsia" w:ascii="仿宋" w:hAnsi="仿宋" w:eastAsia="仿宋" w:cs="Times New Roman"/>
          <w:sz w:val="30"/>
          <w:szCs w:val="30"/>
          <w:lang w:eastAsia="zh-CN"/>
        </w:rPr>
        <w:t>重点绩效评价</w:t>
      </w:r>
      <w:r>
        <w:rPr>
          <w:rFonts w:hint="eastAsia" w:ascii="仿宋" w:hAnsi="仿宋" w:eastAsia="仿宋" w:cs="Times New Roman"/>
          <w:sz w:val="30"/>
          <w:szCs w:val="30"/>
        </w:rPr>
        <w:t>项目即没有50万元以上财政拨付资金并立项的项目，</w:t>
      </w:r>
      <w:r>
        <w:rPr>
          <w:rFonts w:hint="eastAsia" w:ascii="仿宋" w:hAnsi="仿宋" w:eastAsia="仿宋" w:cs="仿宋_GB2312"/>
          <w:kern w:val="0"/>
          <w:sz w:val="30"/>
          <w:szCs w:val="30"/>
        </w:rPr>
        <w:t>其中</w:t>
      </w:r>
      <w:r>
        <w:rPr>
          <w:rFonts w:hint="eastAsia" w:ascii="仿宋" w:hAnsi="仿宋" w:eastAsia="仿宋" w:cs="仿宋_GB2312"/>
          <w:kern w:val="0"/>
          <w:sz w:val="30"/>
          <w:szCs w:val="30"/>
          <w:lang w:eastAsia="zh-CN"/>
        </w:rPr>
        <w:t>有二</w:t>
      </w:r>
      <w:r>
        <w:rPr>
          <w:rFonts w:hint="eastAsia" w:ascii="仿宋" w:hAnsi="仿宋" w:eastAsia="仿宋" w:cs="仿宋_GB2312"/>
          <w:kern w:val="0"/>
          <w:sz w:val="30"/>
          <w:szCs w:val="30"/>
        </w:rPr>
        <w:t>级项目</w:t>
      </w:r>
      <w:r>
        <w:rPr>
          <w:rFonts w:hint="eastAsia" w:ascii="仿宋" w:hAnsi="仿宋" w:eastAsia="仿宋" w:cs="仿宋_GB2312"/>
          <w:kern w:val="0"/>
          <w:sz w:val="30"/>
          <w:szCs w:val="30"/>
          <w:lang w:eastAsia="zh-CN"/>
        </w:rPr>
        <w:t>小专项</w:t>
      </w: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w:t>
      </w:r>
      <w:r>
        <w:rPr>
          <w:rFonts w:hint="eastAsia" w:ascii="仿宋" w:hAnsi="仿宋" w:eastAsia="仿宋" w:cs="仿宋_GB2312"/>
          <w:kern w:val="0"/>
          <w:sz w:val="30"/>
          <w:szCs w:val="30"/>
          <w:lang w:eastAsia="zh-CN"/>
        </w:rPr>
        <w:t>，涉及资金</w:t>
      </w:r>
      <w:r>
        <w:rPr>
          <w:rFonts w:hint="eastAsia" w:ascii="仿宋" w:hAnsi="仿宋" w:eastAsia="仿宋" w:cs="仿宋_GB2312"/>
          <w:kern w:val="0"/>
          <w:sz w:val="30"/>
          <w:szCs w:val="30"/>
          <w:lang w:val="en-US" w:eastAsia="zh-CN"/>
        </w:rPr>
        <w:t>36.7万元，</w:t>
      </w:r>
      <w:r>
        <w:rPr>
          <w:rFonts w:hint="eastAsia" w:ascii="仿宋" w:hAnsi="仿宋" w:eastAsia="仿宋" w:cs="仿宋_GB2312"/>
          <w:kern w:val="0"/>
          <w:sz w:val="30"/>
          <w:szCs w:val="30"/>
        </w:rPr>
        <w:t xml:space="preserve">占一般公共预算项目支出总额的 </w:t>
      </w:r>
      <w:r>
        <w:rPr>
          <w:rFonts w:hint="eastAsia" w:ascii="仿宋" w:hAnsi="仿宋" w:eastAsia="仿宋" w:cs="仿宋_GB2312"/>
          <w:kern w:val="0"/>
          <w:sz w:val="30"/>
          <w:szCs w:val="30"/>
          <w:lang w:val="en-US" w:eastAsia="zh-CN"/>
        </w:rPr>
        <w:t>13.97</w:t>
      </w:r>
      <w:r>
        <w:rPr>
          <w:rFonts w:hint="eastAsia" w:ascii="仿宋" w:hAnsi="仿宋" w:eastAsia="仿宋" w:cs="仿宋_GB2312"/>
          <w:kern w:val="0"/>
          <w:sz w:val="30"/>
          <w:szCs w:val="30"/>
        </w:rPr>
        <w:t xml:space="preserve"> %。</w:t>
      </w:r>
    </w:p>
    <w:p>
      <w:pPr>
        <w:keepNext w:val="0"/>
        <w:keepLines w:val="0"/>
        <w:pageBreakBefore w:val="0"/>
        <w:widowControl/>
        <w:kinsoku/>
        <w:wordWrap/>
        <w:overflowPunct/>
        <w:topLinePunct w:val="0"/>
        <w:autoSpaceDE w:val="0"/>
        <w:autoSpaceDN w:val="0"/>
        <w:bidi w:val="0"/>
        <w:adjustRightInd w:val="0"/>
        <w:snapToGrid/>
        <w:spacing w:line="240" w:lineRule="auto"/>
        <w:ind w:firstLine="600" w:firstLineChars="200"/>
        <w:jc w:val="left"/>
        <w:textAlignment w:val="auto"/>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组织对”2019年江西省“全民终身学习活动周”开幕式“项</w:t>
      </w: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目开展了部门评价，涉及</w:t>
      </w:r>
      <w:r>
        <w:rPr>
          <w:rFonts w:hint="eastAsia" w:ascii="仿宋" w:hAnsi="仿宋" w:eastAsia="仿宋" w:cs="仿宋_GB2312"/>
          <w:kern w:val="0"/>
          <w:sz w:val="30"/>
          <w:szCs w:val="30"/>
        </w:rPr>
        <w:t xml:space="preserve">一般公共预算支出 </w:t>
      </w:r>
      <w:r>
        <w:rPr>
          <w:rFonts w:hint="eastAsia" w:ascii="仿宋" w:hAnsi="仿宋" w:eastAsia="仿宋" w:cs="仿宋_GB2312"/>
          <w:kern w:val="0"/>
          <w:sz w:val="30"/>
          <w:szCs w:val="30"/>
          <w:lang w:val="en-US" w:eastAsia="zh-CN"/>
        </w:rPr>
        <w:t>36.7</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。从评价情况来看，评价结果为”优秀“，通过对该对项目的开展，在提升居民素质，推动学习型城市建设、构建终身教育体系，树立社区教育品牌等方面取得了良好成效。</w:t>
      </w:r>
    </w:p>
    <w:p>
      <w:pPr>
        <w:keepNext w:val="0"/>
        <w:keepLines w:val="0"/>
        <w:pageBreakBefore w:val="0"/>
        <w:widowControl/>
        <w:numPr>
          <w:ilvl w:val="0"/>
          <w:numId w:val="3"/>
        </w:numPr>
        <w:kinsoku/>
        <w:wordWrap/>
        <w:overflowPunct/>
        <w:topLinePunct w:val="0"/>
        <w:autoSpaceDE w:val="0"/>
        <w:autoSpaceDN w:val="0"/>
        <w:bidi w:val="0"/>
        <w:adjustRightInd w:val="0"/>
        <w:snapToGrid/>
        <w:spacing w:line="240" w:lineRule="auto"/>
        <w:ind w:firstLine="600" w:firstLineChars="200"/>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部门决算中项目绩效自评结果</w:t>
      </w:r>
    </w:p>
    <w:p>
      <w:pPr>
        <w:keepNext w:val="0"/>
        <w:keepLines w:val="0"/>
        <w:pageBreakBefore w:val="0"/>
        <w:widowControl/>
        <w:kinsoku/>
        <w:wordWrap/>
        <w:overflowPunct/>
        <w:topLinePunct w:val="0"/>
        <w:autoSpaceDE w:val="0"/>
        <w:autoSpaceDN w:val="0"/>
        <w:bidi w:val="0"/>
        <w:adjustRightInd w:val="0"/>
        <w:snapToGrid/>
        <w:spacing w:line="240" w:lineRule="auto"/>
        <w:ind w:firstLine="584"/>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”2019年江西省“全民终身学习活动周”开幕式“</w:t>
      </w:r>
      <w:r>
        <w:rPr>
          <w:rFonts w:hint="eastAsia" w:ascii="仿宋" w:hAnsi="仿宋" w:eastAsia="仿宋" w:cs="仿宋_GB2312"/>
          <w:kern w:val="0"/>
          <w:sz w:val="30"/>
          <w:szCs w:val="30"/>
        </w:rPr>
        <w:t>项目绩效自评结果。</w:t>
      </w:r>
    </w:p>
    <w:p>
      <w:pPr>
        <w:keepNext w:val="0"/>
        <w:keepLines w:val="0"/>
        <w:pageBreakBefore w:val="0"/>
        <w:widowControl/>
        <w:kinsoku/>
        <w:wordWrap/>
        <w:overflowPunct/>
        <w:topLinePunct w:val="0"/>
        <w:autoSpaceDE w:val="0"/>
        <w:autoSpaceDN w:val="0"/>
        <w:bidi w:val="0"/>
        <w:adjustRightInd w:val="0"/>
        <w:snapToGrid/>
        <w:spacing w:line="240" w:lineRule="auto"/>
        <w:ind w:firstLine="585"/>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”2019年江西省“全民终身学习活动周”开幕式“</w:t>
      </w:r>
      <w:r>
        <w:rPr>
          <w:rFonts w:hint="eastAsia" w:ascii="仿宋" w:hAnsi="仿宋" w:eastAsia="仿宋" w:cs="仿宋_GB2312"/>
          <w:kern w:val="0"/>
          <w:sz w:val="30"/>
          <w:szCs w:val="30"/>
        </w:rPr>
        <w:t xml:space="preserve">项目绩效自评得分为 </w:t>
      </w:r>
      <w:r>
        <w:rPr>
          <w:rFonts w:hint="eastAsia" w:ascii="仿宋" w:hAnsi="仿宋" w:eastAsia="仿宋" w:cs="仿宋_GB2312"/>
          <w:kern w:val="0"/>
          <w:sz w:val="30"/>
          <w:szCs w:val="30"/>
          <w:lang w:val="en-US" w:eastAsia="zh-CN"/>
        </w:rPr>
        <w:t>94.8</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 xml:space="preserve">分。项目全年预算数为 </w:t>
      </w:r>
      <w:r>
        <w:rPr>
          <w:rFonts w:hint="eastAsia" w:ascii="仿宋" w:hAnsi="仿宋" w:eastAsia="仿宋" w:cs="仿宋_GB2312"/>
          <w:kern w:val="0"/>
          <w:sz w:val="30"/>
          <w:szCs w:val="30"/>
          <w:lang w:val="en-US" w:eastAsia="zh-CN"/>
        </w:rPr>
        <w:t>36.7</w:t>
      </w:r>
      <w:r>
        <w:rPr>
          <w:rFonts w:hint="eastAsia" w:ascii="仿宋" w:hAnsi="仿宋" w:eastAsia="仿宋" w:cs="仿宋_GB2312"/>
          <w:kern w:val="0"/>
          <w:sz w:val="30"/>
          <w:szCs w:val="30"/>
        </w:rPr>
        <w:t xml:space="preserve"> 万元，执行数为</w:t>
      </w:r>
      <w:r>
        <w:rPr>
          <w:rFonts w:hint="eastAsia" w:ascii="仿宋" w:hAnsi="仿宋" w:eastAsia="仿宋" w:cs="仿宋_GB2312"/>
          <w:kern w:val="0"/>
          <w:sz w:val="30"/>
          <w:szCs w:val="30"/>
          <w:lang w:val="en-US" w:eastAsia="zh-CN"/>
        </w:rPr>
        <w:t>29.23</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79.65</w:t>
      </w:r>
      <w:r>
        <w:rPr>
          <w:rFonts w:hint="eastAsia" w:ascii="仿宋" w:hAnsi="仿宋" w:eastAsia="仿宋" w:cs="仿宋_GB2312"/>
          <w:kern w:val="0"/>
          <w:sz w:val="30"/>
          <w:szCs w:val="30"/>
        </w:rPr>
        <w:t xml:space="preserve"> %。主要产出和效果：一是社区教育成果展板</w:t>
      </w:r>
      <w:r>
        <w:rPr>
          <w:rFonts w:hint="eastAsia" w:ascii="仿宋" w:hAnsi="仿宋" w:eastAsia="仿宋" w:cs="仿宋_GB2312"/>
          <w:kern w:val="0"/>
          <w:sz w:val="30"/>
          <w:szCs w:val="30"/>
          <w:lang w:eastAsia="zh-CN"/>
        </w:rPr>
        <w:t>完成</w:t>
      </w:r>
      <w:r>
        <w:rPr>
          <w:rFonts w:hint="eastAsia" w:ascii="仿宋" w:hAnsi="仿宋" w:eastAsia="仿宋" w:cs="仿宋_GB2312"/>
          <w:kern w:val="0"/>
          <w:sz w:val="30"/>
          <w:szCs w:val="30"/>
          <w:lang w:val="en-US" w:eastAsia="zh-CN"/>
        </w:rPr>
        <w:t>47块，全部完成目标</w:t>
      </w:r>
      <w:r>
        <w:rPr>
          <w:rFonts w:hint="eastAsia" w:ascii="仿宋" w:hAnsi="仿宋" w:eastAsia="仿宋" w:cs="仿宋_GB2312"/>
          <w:kern w:val="0"/>
          <w:sz w:val="30"/>
          <w:szCs w:val="30"/>
        </w:rPr>
        <w:t>；二是参加开幕式人数</w:t>
      </w:r>
      <w:r>
        <w:rPr>
          <w:rFonts w:hint="eastAsia" w:ascii="仿宋" w:hAnsi="仿宋" w:eastAsia="仿宋" w:cs="仿宋_GB2312"/>
          <w:kern w:val="0"/>
          <w:sz w:val="30"/>
          <w:szCs w:val="30"/>
          <w:lang w:eastAsia="zh-CN"/>
        </w:rPr>
        <w:t>达到</w:t>
      </w:r>
      <w:r>
        <w:rPr>
          <w:rFonts w:hint="eastAsia" w:ascii="仿宋" w:hAnsi="仿宋" w:eastAsia="仿宋" w:cs="仿宋_GB2312"/>
          <w:kern w:val="0"/>
          <w:sz w:val="30"/>
          <w:szCs w:val="30"/>
          <w:lang w:val="en-US" w:eastAsia="zh-CN"/>
        </w:rPr>
        <w:t>300人；三是开幕式各项工作合格率100%； 四是任务按时完成；五是达到提升居民参与社区教育的积极性；六是提升社区居民终身学习的自主性</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eastAsia="zh-CN"/>
        </w:rPr>
        <w:t>预算执行力度不够；原因</w:t>
      </w:r>
      <w:r>
        <w:rPr>
          <w:rFonts w:hint="eastAsia" w:ascii="仿宋" w:hAnsi="仿宋" w:eastAsia="仿宋" w:cs="仿宋_GB2312"/>
          <w:kern w:val="0"/>
          <w:sz w:val="30"/>
          <w:szCs w:val="30"/>
        </w:rPr>
        <w:t>项目管理方面缺乏配套的资金跟踪制度和后续配套制度。下一步改进措施：一是明确管理部门及用款单位的责任和考核预算分配目标的完成情况，保证资金使用安全、合理、有效。二是将预算安排与评价等次挂钩</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w:t>
      </w:r>
    </w:p>
    <w:p>
      <w:pPr>
        <w:keepNext w:val="0"/>
        <w:keepLines w:val="0"/>
        <w:pageBreakBefore w:val="0"/>
        <w:widowControl/>
        <w:kinsoku/>
        <w:wordWrap/>
        <w:overflowPunct/>
        <w:topLinePunct w:val="0"/>
        <w:autoSpaceDE w:val="0"/>
        <w:autoSpaceDN w:val="0"/>
        <w:bidi w:val="0"/>
        <w:adjustRightInd w:val="0"/>
        <w:snapToGrid/>
        <w:spacing w:line="240" w:lineRule="auto"/>
        <w:ind w:firstLine="600"/>
        <w:jc w:val="left"/>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2019年江西省“全民终身学习活动周”开幕式“</w:t>
      </w:r>
      <w:r>
        <w:rPr>
          <w:rFonts w:hint="eastAsia" w:ascii="仿宋" w:hAnsi="仿宋" w:eastAsia="仿宋" w:cs="仿宋_GB2312"/>
          <w:kern w:val="0"/>
          <w:sz w:val="30"/>
          <w:szCs w:val="30"/>
        </w:rPr>
        <w:t>项目绩效自评综述：在市委、市政府的高度重视下，全市共建立52所社区学校和社区学习中心，社区教育网络实现城区全覆盖，并逐步向农村延伸，城乡居民累计受益上百万人。同时，建成了“新余学习网”“终身学习数据服务平台”和“社区教育微信公众平台”等社区教育公共服务平台；启动了老年教育系统建设，打造了“乡村大讲堂”“幸福书屋”“新时代文明实践中心”和“《读者》分享会”等一批具有新余地方特色的社区教育品牌；同时，我市社区教育发展经验在开幕式高端论坛上作典型发言。在提升居民素质，推动学习型城市建设、构建终身教育体系，树立社区教育品牌等方面取得了良好成效。</w:t>
      </w:r>
    </w:p>
    <w:tbl>
      <w:tblPr>
        <w:tblStyle w:val="4"/>
        <w:tblW w:w="9465" w:type="dxa"/>
        <w:tblInd w:w="-366" w:type="dxa"/>
        <w:shd w:val="clear" w:color="auto" w:fill="auto"/>
        <w:tblLayout w:type="autofit"/>
        <w:tblCellMar>
          <w:top w:w="0" w:type="dxa"/>
          <w:left w:w="0" w:type="dxa"/>
          <w:bottom w:w="0" w:type="dxa"/>
          <w:right w:w="0" w:type="dxa"/>
        </w:tblCellMar>
      </w:tblPr>
      <w:tblGrid>
        <w:gridCol w:w="675"/>
        <w:gridCol w:w="1439"/>
        <w:gridCol w:w="1494"/>
        <w:gridCol w:w="1271"/>
        <w:gridCol w:w="1188"/>
        <w:gridCol w:w="923"/>
        <w:gridCol w:w="912"/>
        <w:gridCol w:w="1563"/>
      </w:tblGrid>
      <w:tr>
        <w:tblPrEx>
          <w:shd w:val="clear" w:color="auto" w:fill="auto"/>
          <w:tblCellMar>
            <w:top w:w="0" w:type="dxa"/>
            <w:left w:w="0" w:type="dxa"/>
            <w:bottom w:w="0" w:type="dxa"/>
            <w:right w:w="0" w:type="dxa"/>
          </w:tblCellMar>
        </w:tblPrEx>
        <w:trPr>
          <w:trHeight w:val="871" w:hRule="atLeast"/>
        </w:trPr>
        <w:tc>
          <w:tcPr>
            <w:tcW w:w="946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新余市财政项目支出绩效自评表</w:t>
            </w:r>
            <w:r>
              <w:rPr>
                <w:rFonts w:hint="eastAsia" w:ascii="黑体" w:hAnsi="宋体" w:eastAsia="黑体" w:cs="黑体"/>
                <w:i w:val="0"/>
                <w:color w:val="000000"/>
                <w:kern w:val="0"/>
                <w:sz w:val="40"/>
                <w:szCs w:val="40"/>
                <w:u w:val="none"/>
                <w:lang w:val="en-US" w:eastAsia="zh-CN" w:bidi="ar"/>
              </w:rPr>
              <w:br w:type="textWrapping"/>
            </w:r>
            <w:r>
              <w:rPr>
                <w:rStyle w:val="8"/>
                <w:rFonts w:hAnsi="宋体"/>
                <w:lang w:val="en-US" w:eastAsia="zh-CN" w:bidi="ar"/>
              </w:rPr>
              <w:t>（ 2019  年度）</w:t>
            </w:r>
          </w:p>
        </w:tc>
      </w:tr>
      <w:tr>
        <w:tblPrEx>
          <w:tblCellMar>
            <w:top w:w="0" w:type="dxa"/>
            <w:left w:w="0" w:type="dxa"/>
            <w:bottom w:w="0" w:type="dxa"/>
            <w:right w:w="0" w:type="dxa"/>
          </w:tblCellMar>
        </w:tblPrEx>
        <w:trPr>
          <w:trHeight w:val="441" w:hRule="atLeast"/>
        </w:trPr>
        <w:tc>
          <w:tcPr>
            <w:tcW w:w="3608" w:type="dxa"/>
            <w:gridSpan w:val="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填报单位（盖章）新余市成人教育中心</w:t>
            </w:r>
          </w:p>
        </w:tc>
        <w:tc>
          <w:tcPr>
            <w:tcW w:w="127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188"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2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12"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56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2019年江西省“全民终身学习活动周”开幕式</w:t>
            </w:r>
          </w:p>
        </w:tc>
      </w:tr>
      <w:tr>
        <w:tblPrEx>
          <w:tblCellMar>
            <w:top w:w="0" w:type="dxa"/>
            <w:left w:w="0" w:type="dxa"/>
            <w:bottom w:w="0" w:type="dxa"/>
            <w:right w:w="0"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新余市成人教育中心 </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项目实施单位</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新余市成人教育中心 </w:t>
            </w:r>
          </w:p>
        </w:tc>
      </w:tr>
      <w:tr>
        <w:tblPrEx>
          <w:tblCellMar>
            <w:top w:w="0" w:type="dxa"/>
            <w:left w:w="0" w:type="dxa"/>
            <w:bottom w:w="0" w:type="dxa"/>
            <w:right w:w="0"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1、延续性项目 □   2、新增性项目 </w:t>
            </w:r>
            <w:r>
              <w:rPr>
                <w:rStyle w:val="9"/>
                <w:rFonts w:eastAsia="仿宋_GB2312"/>
                <w:lang w:val="en-US" w:eastAsia="zh-CN" w:bidi="ar"/>
              </w:rPr>
              <w:t>√</w:t>
            </w:r>
            <w:r>
              <w:rPr>
                <w:rStyle w:val="10"/>
                <w:rFonts w:hAnsi="宋体"/>
                <w:lang w:val="en-US" w:eastAsia="zh-CN" w:bidi="ar"/>
              </w:rPr>
              <w:t>□</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2019年1-12月</w:t>
            </w:r>
          </w:p>
        </w:tc>
      </w:tr>
      <w:tr>
        <w:tblPrEx>
          <w:tblCellMar>
            <w:top w:w="0" w:type="dxa"/>
            <w:left w:w="0" w:type="dxa"/>
            <w:bottom w:w="0" w:type="dxa"/>
            <w:right w:w="0" w:type="dxa"/>
          </w:tblCellMar>
        </w:tblPrEx>
        <w:trPr>
          <w:trHeight w:val="450" w:hRule="atLeast"/>
        </w:trPr>
        <w:tc>
          <w:tcPr>
            <w:tcW w:w="94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预算执行情况评价</w:t>
            </w:r>
          </w:p>
        </w:tc>
      </w:tr>
      <w:tr>
        <w:tblPrEx>
          <w:tblCellMar>
            <w:top w:w="0" w:type="dxa"/>
            <w:left w:w="0" w:type="dxa"/>
            <w:bottom w:w="0" w:type="dxa"/>
            <w:right w:w="0"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项目总预算（万元）</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项目当年预算</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预决算偏离原因分析</w:t>
            </w: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年度项目资金总额：</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36.7</w:t>
            </w:r>
          </w:p>
        </w:tc>
        <w:tc>
          <w:tcPr>
            <w:tcW w:w="11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29.23</w:t>
            </w:r>
          </w:p>
        </w:tc>
        <w:tc>
          <w:tcPr>
            <w:tcW w:w="9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79.65%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部分发票报账不及时</w:t>
            </w: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其中：中省财政资金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1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市级财政资金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36.7</w:t>
            </w:r>
          </w:p>
        </w:tc>
        <w:tc>
          <w:tcPr>
            <w:tcW w:w="11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29.23</w:t>
            </w:r>
          </w:p>
        </w:tc>
        <w:tc>
          <w:tcPr>
            <w:tcW w:w="9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79.65%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部分发票报账不及时</w:t>
            </w: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1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其中：对县区转移支付资金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1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其中：民生资金</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18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92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预算科目</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教育支出205</w:t>
            </w:r>
          </w:p>
        </w:tc>
      </w:tr>
      <w:tr>
        <w:tblPrEx>
          <w:tblCellMar>
            <w:top w:w="0" w:type="dxa"/>
            <w:left w:w="0" w:type="dxa"/>
            <w:bottom w:w="0" w:type="dxa"/>
            <w:right w:w="0" w:type="dxa"/>
          </w:tblCellMar>
        </w:tblPrEx>
        <w:trPr>
          <w:trHeight w:val="450" w:hRule="atLeast"/>
        </w:trPr>
        <w:tc>
          <w:tcPr>
            <w:tcW w:w="946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绩效目标完成情况评价</w:t>
            </w:r>
          </w:p>
        </w:tc>
      </w:tr>
      <w:tr>
        <w:tblPrEx>
          <w:tblCellMar>
            <w:top w:w="0" w:type="dxa"/>
            <w:left w:w="0" w:type="dxa"/>
            <w:bottom w:w="0" w:type="dxa"/>
            <w:right w:w="0"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年初目标值</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trHeight w:val="52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产出指标</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39"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1</w:t>
            </w:r>
            <w:r>
              <w:rPr>
                <w:rStyle w:val="11"/>
                <w:lang w:val="en-US" w:eastAsia="zh-CN" w:bidi="ar"/>
              </w:rPr>
              <w:t>：社区教育成果展板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47块</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47块</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8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2</w:t>
            </w:r>
            <w:r>
              <w:rPr>
                <w:rStyle w:val="11"/>
                <w:lang w:val="en-US" w:eastAsia="zh-CN" w:bidi="ar"/>
              </w:rPr>
              <w:t>：参加开幕式人数</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300人</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300人</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1</w:t>
            </w:r>
            <w:r>
              <w:rPr>
                <w:rStyle w:val="11"/>
                <w:lang w:val="en-US" w:eastAsia="zh-CN" w:bidi="ar"/>
              </w:rPr>
              <w:t>：开幕式各项工作合格率</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2</w:t>
            </w:r>
            <w:r>
              <w:rPr>
                <w:rStyle w:val="11"/>
                <w:lang w:val="en-US" w:eastAsia="zh-CN" w:bidi="ar"/>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1</w:t>
            </w:r>
            <w:r>
              <w:rPr>
                <w:rStyle w:val="11"/>
                <w:lang w:val="en-US" w:eastAsia="zh-CN" w:bidi="ar"/>
              </w:rPr>
              <w:t>：任务完成时间</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完成</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2</w:t>
            </w:r>
            <w:r>
              <w:rPr>
                <w:rStyle w:val="11"/>
                <w:lang w:val="en-US" w:eastAsia="zh-CN" w:bidi="ar"/>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1</w:t>
            </w:r>
            <w:r>
              <w:rPr>
                <w:rStyle w:val="11"/>
                <w:lang w:val="en-US" w:eastAsia="zh-CN" w:bidi="ar"/>
              </w:rPr>
              <w:t>：项目经费执行率</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r>
              <w:rPr>
                <w:rStyle w:val="10"/>
                <w:rFonts w:hAnsi="宋体"/>
                <w:lang w:val="en-US" w:eastAsia="zh-CN" w:bidi="ar"/>
              </w:rPr>
              <w:t>100%</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79.65%</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部分发票未及时报销</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及时报账</w:t>
            </w:r>
          </w:p>
        </w:tc>
      </w:tr>
      <w:tr>
        <w:tblPrEx>
          <w:tblCellMar>
            <w:top w:w="0" w:type="dxa"/>
            <w:left w:w="0" w:type="dxa"/>
            <w:bottom w:w="0" w:type="dxa"/>
            <w:right w:w="0" w:type="dxa"/>
          </w:tblCellMar>
        </w:tblPrEx>
        <w:trPr>
          <w:trHeight w:val="4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2</w:t>
            </w:r>
            <w:r>
              <w:rPr>
                <w:rStyle w:val="11"/>
                <w:lang w:val="en-US" w:eastAsia="zh-CN" w:bidi="ar"/>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47"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指标：无</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4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指标：居民参与社区教育的积极性提升</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达到</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4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指标：社区居民终身学习的自主性</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提升</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提升</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605" w:hRule="atLeast"/>
        </w:trPr>
        <w:tc>
          <w:tcPr>
            <w:tcW w:w="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w:t>
            </w:r>
          </w:p>
        </w:tc>
        <w:tc>
          <w:tcPr>
            <w:tcW w:w="14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w:t>
            </w:r>
            <w:r>
              <w:rPr>
                <w:rStyle w:val="11"/>
                <w:lang w:val="en-US" w:eastAsia="zh-CN" w:bidi="ar"/>
              </w:rPr>
              <w:t>指标</w:t>
            </w:r>
            <w:r>
              <w:rPr>
                <w:rStyle w:val="10"/>
                <w:rFonts w:hAnsi="宋体"/>
                <w:lang w:val="en-US" w:eastAsia="zh-CN" w:bidi="ar"/>
              </w:rPr>
              <w:t>1</w:t>
            </w:r>
            <w:r>
              <w:rPr>
                <w:rStyle w:val="11"/>
                <w:lang w:val="en-US" w:eastAsia="zh-CN" w:bidi="ar"/>
              </w:rPr>
              <w:t>：社区居民满意度</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526" w:hRule="atLeast"/>
        </w:trPr>
        <w:tc>
          <w:tcPr>
            <w:tcW w:w="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指标2：社区居民满意度</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trHeight w:val="1360" w:hRule="atLeast"/>
        </w:trPr>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主要成效</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市委、市政府的高度重视下，全市共建立52所社区学校和社区学习中心，社区教育网络实现城区全覆盖，并逐步向农村延伸，城乡居民累计受益上百万人。同时，建成了“新余学习网”“终身学习数据服务平台”和“社区教育微信公众平台”等社区教育公共服务平台；启动了老年教育系统建设，打造了“乡村大讲堂”“幸福书屋”“新时代文明实践中心”和“《读者》分享会”等一批具有新余地方特色的社区教育品牌；同时，我市社区教育发展经验在开幕式高端论坛上作典型发言。在提升居民素质，推动学习型城市建设、构建终身教育体系，树立社区教育品牌等方面取得了良好成效。</w:t>
            </w:r>
          </w:p>
        </w:tc>
      </w:tr>
      <w:tr>
        <w:tblPrEx>
          <w:shd w:val="clear" w:color="auto" w:fill="auto"/>
          <w:tblCellMar>
            <w:top w:w="0" w:type="dxa"/>
            <w:left w:w="0" w:type="dxa"/>
            <w:bottom w:w="0" w:type="dxa"/>
            <w:right w:w="0" w:type="dxa"/>
          </w:tblCellMar>
        </w:tblPrEx>
        <w:trPr>
          <w:trHeight w:val="508" w:hRule="atLeast"/>
        </w:trPr>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预算执行力度不够。</w:t>
            </w:r>
            <w:r>
              <w:rPr>
                <w:rFonts w:hint="eastAsia" w:ascii="宋体" w:hAnsi="宋体" w:eastAsia="宋体" w:cs="宋体"/>
                <w:i w:val="0"/>
                <w:color w:val="000000"/>
                <w:kern w:val="0"/>
                <w:sz w:val="20"/>
                <w:szCs w:val="20"/>
                <w:u w:val="none"/>
                <w:lang w:val="en-US" w:eastAsia="zh-CN" w:bidi="ar"/>
              </w:rPr>
              <w:t xml:space="preserve"> </w:t>
            </w:r>
          </w:p>
        </w:tc>
      </w:tr>
      <w:tr>
        <w:tblPrEx>
          <w:tblCellMar>
            <w:top w:w="0" w:type="dxa"/>
            <w:left w:w="0" w:type="dxa"/>
            <w:bottom w:w="0" w:type="dxa"/>
            <w:right w:w="0" w:type="dxa"/>
          </w:tblCellMar>
        </w:tblPrEx>
        <w:trPr>
          <w:trHeight w:val="526" w:hRule="atLeast"/>
        </w:trPr>
        <w:tc>
          <w:tcPr>
            <w:tcW w:w="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整改措施</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一是明确管理部门及用款单位的责任和考核预算分配目标的完成情况，保证资金使用安全、合理、有效。二是将预算安排与评价等次挂钩。</w:t>
            </w:r>
          </w:p>
        </w:tc>
      </w:tr>
      <w:tr>
        <w:tblPrEx>
          <w:tblCellMar>
            <w:top w:w="0" w:type="dxa"/>
            <w:left w:w="0" w:type="dxa"/>
            <w:bottom w:w="0" w:type="dxa"/>
            <w:right w:w="0" w:type="dxa"/>
          </w:tblCellMar>
        </w:tblPrEx>
        <w:trPr>
          <w:trHeight w:val="9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审核意见</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同意                                                                     </w:t>
            </w:r>
            <w:r>
              <w:rPr>
                <w:rStyle w:val="12"/>
                <w:lang w:val="en-US" w:eastAsia="zh-CN" w:bidi="ar"/>
              </w:rPr>
              <w:t>签章</w:t>
            </w:r>
            <w:r>
              <w:rPr>
                <w:rStyle w:val="12"/>
                <w:lang w:val="en-US" w:eastAsia="zh-CN" w:bidi="ar"/>
              </w:rPr>
              <w:br w:type="textWrapping"/>
            </w:r>
            <w:r>
              <w:rPr>
                <w:rStyle w:val="12"/>
                <w:lang w:val="en-US" w:eastAsia="zh-CN" w:bidi="ar"/>
              </w:rPr>
              <w:t xml:space="preserve">                                                           </w:t>
            </w:r>
            <w:r>
              <w:rPr>
                <w:rStyle w:val="12"/>
                <w:rFonts w:hint="eastAsia"/>
                <w:lang w:val="en-US" w:eastAsia="zh-CN" w:bidi="ar"/>
              </w:rPr>
              <w:t>2020</w:t>
            </w:r>
            <w:r>
              <w:rPr>
                <w:rStyle w:val="12"/>
                <w:lang w:val="en-US" w:eastAsia="zh-CN" w:bidi="ar"/>
              </w:rPr>
              <w:t xml:space="preserve"> 年 </w:t>
            </w:r>
            <w:r>
              <w:rPr>
                <w:rStyle w:val="12"/>
                <w:rFonts w:hint="eastAsia"/>
                <w:lang w:val="en-US" w:eastAsia="zh-CN" w:bidi="ar"/>
              </w:rPr>
              <w:t>11</w:t>
            </w:r>
            <w:r>
              <w:rPr>
                <w:rStyle w:val="12"/>
                <w:lang w:val="en-US" w:eastAsia="zh-CN" w:bidi="ar"/>
              </w:rPr>
              <w:t xml:space="preserve"> 月 </w:t>
            </w:r>
            <w:r>
              <w:rPr>
                <w:rStyle w:val="12"/>
                <w:rFonts w:hint="eastAsia"/>
                <w:lang w:val="en-US" w:eastAsia="zh-CN" w:bidi="ar"/>
              </w:rPr>
              <w:t>14</w:t>
            </w:r>
            <w:r>
              <w:rPr>
                <w:rStyle w:val="12"/>
                <w:lang w:val="en-US" w:eastAsia="zh-CN" w:bidi="ar"/>
              </w:rPr>
              <w:t xml:space="preserve">  日</w:t>
            </w:r>
            <w:r>
              <w:rPr>
                <w:rStyle w:val="11"/>
                <w:lang w:val="en-US" w:eastAsia="zh-CN" w:bidi="ar"/>
              </w:rPr>
              <w:t xml:space="preserve">          </w:t>
            </w:r>
          </w:p>
        </w:tc>
      </w:tr>
      <w:tr>
        <w:tblPrEx>
          <w:tblCellMar>
            <w:top w:w="0" w:type="dxa"/>
            <w:left w:w="0" w:type="dxa"/>
            <w:bottom w:w="0" w:type="dxa"/>
            <w:right w:w="0" w:type="dxa"/>
          </w:tblCellMar>
        </w:tblPrEx>
        <w:trPr>
          <w:trHeight w:val="857" w:hRule="atLeast"/>
        </w:trPr>
        <w:tc>
          <w:tcPr>
            <w:tcW w:w="946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Style w:val="13"/>
                <w:rFonts w:eastAsia="宋体"/>
                <w:lang w:val="en-US" w:eastAsia="zh-CN" w:bidi="ar"/>
              </w:rPr>
              <w:t>“</w:t>
            </w:r>
            <w:r>
              <w:rPr>
                <w:rStyle w:val="11"/>
                <w:lang w:val="en-US" w:eastAsia="zh-CN" w:bidi="ar"/>
              </w:rPr>
              <w:t>绩效指标分析与建议</w:t>
            </w:r>
            <w:r>
              <w:rPr>
                <w:rStyle w:val="13"/>
                <w:rFonts w:eastAsia="宋体"/>
                <w:lang w:val="en-US" w:eastAsia="zh-CN" w:bidi="ar"/>
              </w:rPr>
              <w:t>”</w:t>
            </w:r>
            <w:r>
              <w:rPr>
                <w:rStyle w:val="11"/>
                <w:lang w:val="en-US" w:eastAsia="zh-CN" w:bidi="ar"/>
              </w:rPr>
              <w:t>：从</w:t>
            </w:r>
            <w:r>
              <w:rPr>
                <w:rStyle w:val="13"/>
                <w:rFonts w:eastAsia="宋体"/>
                <w:lang w:val="en-US" w:eastAsia="zh-CN" w:bidi="ar"/>
              </w:rPr>
              <w:t>“</w:t>
            </w:r>
            <w:r>
              <w:rPr>
                <w:rStyle w:val="11"/>
                <w:lang w:val="en-US" w:eastAsia="zh-CN" w:bidi="ar"/>
              </w:rPr>
              <w:t>是否与项目密切相关，指标值是否可获取，指标值设置是否合理</w:t>
            </w:r>
            <w:r>
              <w:rPr>
                <w:rStyle w:val="13"/>
                <w:rFonts w:eastAsia="宋体"/>
                <w:lang w:val="en-US" w:eastAsia="zh-CN" w:bidi="ar"/>
              </w:rPr>
              <w:t>”</w:t>
            </w:r>
            <w:r>
              <w:rPr>
                <w:rStyle w:val="11"/>
                <w:lang w:val="en-US" w:eastAsia="zh-CN" w:bidi="ar"/>
              </w:rPr>
              <w:t>等角度，找出需要改进的指标，并逐项提出次年的编制意见和建议。</w:t>
            </w:r>
          </w:p>
        </w:tc>
      </w:tr>
    </w:tbl>
    <w:p>
      <w:pPr>
        <w:spacing w:line="360" w:lineRule="auto"/>
        <w:jc w:val="left"/>
        <w:rPr>
          <w:rFonts w:ascii="新宋体" w:hAnsi="新宋体" w:eastAsia="新宋体"/>
          <w:b/>
          <w:bCs/>
          <w:sz w:val="28"/>
          <w:szCs w:val="28"/>
        </w:rPr>
      </w:pPr>
    </w:p>
    <w:p>
      <w:pPr>
        <w:spacing w:line="360" w:lineRule="auto"/>
        <w:jc w:val="left"/>
        <w:rPr>
          <w:rFonts w:ascii="新宋体" w:hAnsi="新宋体" w:eastAsia="新宋体"/>
          <w:b/>
          <w:bCs/>
          <w:sz w:val="28"/>
          <w:szCs w:val="28"/>
        </w:rPr>
      </w:pPr>
    </w:p>
    <w:p>
      <w:pPr>
        <w:spacing w:line="360" w:lineRule="auto"/>
        <w:jc w:val="center"/>
        <w:rPr>
          <w:rFonts w:ascii="宋体"/>
          <w:b/>
          <w:bCs/>
          <w:sz w:val="32"/>
          <w:szCs w:val="32"/>
        </w:rPr>
      </w:pPr>
      <w:r>
        <w:rPr>
          <w:rFonts w:hint="eastAsia" w:ascii="宋体" w:hAnsi="宋体" w:cs="宋体"/>
          <w:b/>
          <w:bCs/>
          <w:sz w:val="32"/>
          <w:szCs w:val="32"/>
        </w:rPr>
        <w:t>第四部分名词解释</w:t>
      </w:r>
    </w:p>
    <w:p>
      <w:pPr>
        <w:spacing w:line="360" w:lineRule="auto"/>
        <w:ind w:firstLine="600"/>
        <w:rPr>
          <w:rFonts w:ascii="新宋体" w:hAnsi="新宋体" w:eastAsia="新宋体"/>
          <w:kern w:val="0"/>
          <w:sz w:val="28"/>
          <w:szCs w:val="28"/>
        </w:rPr>
      </w:pP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1.财政拨款收入：从同级财政部门取得的财政预算资金，包括公共预算财政拨款和政府性基金预算财政拨款。</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2. 事业单位专户资金收入：从同级财政部门取得的财政专户管理资金。</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3.事业收入：事业单位开展专业业务活动及辅助活动所取得的收入，不含财政专户管理资金收入。</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4.用事业基金弥补收支差额：事业单位在当年收入不足以安排当年支出情况下，使用以前年度积累的事业基金弥补本年收支缺口的资金。</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5.上年结转：预算单位以前年度的收入预算未执行完毕，需结转本年度继续使用的结转资金，以及以前年度收支相抵后的盈余或亏损结余资金。</w:t>
      </w:r>
    </w:p>
    <w:p>
      <w:pPr>
        <w:widowControl w:val="0"/>
        <w:ind w:firstLine="630"/>
        <w:jc w:val="left"/>
        <w:rPr>
          <w:rFonts w:hint="eastAsia" w:ascii="仿宋" w:hAnsi="仿宋" w:eastAsia="仿宋" w:cs="Times New Roman"/>
          <w:sz w:val="30"/>
          <w:szCs w:val="30"/>
        </w:rPr>
      </w:pPr>
      <w:r>
        <w:rPr>
          <w:rFonts w:hint="eastAsia" w:ascii="仿宋" w:hAnsi="仿宋" w:eastAsia="仿宋" w:cs="Times New Roman"/>
          <w:sz w:val="30"/>
          <w:szCs w:val="30"/>
        </w:rPr>
        <w:t>6.结余分配：事业单位按照国家规定应交所得税和提取事业基金、专用基金的分配情况和结果。</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7.结转下年：预算单位本年底前的收入预算未执行完毕，需结转下年度按照原用途继续使用的结转资金，以及本年底前收支相抵后盈余或亏损的结余资金。</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8.基本支出：是预算单位为保障其正常运转，完成日常工作任务所发生的支出，包括人员支出和日常公用支出。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9.项目支出：是预算单位为完成其特定的行政工作任务或事业发展目标</w:t>
      </w:r>
      <w:r>
        <w:rPr>
          <w:rFonts w:hint="eastAsia" w:ascii="仿宋" w:hAnsi="仿宋" w:eastAsia="仿宋" w:cs="Times New Roman"/>
          <w:sz w:val="30"/>
          <w:szCs w:val="30"/>
          <w:lang w:eastAsia="zh-CN"/>
        </w:rPr>
        <w:t>，在基本的预算支出以外，财政预算专款安排</w:t>
      </w:r>
      <w:r>
        <w:rPr>
          <w:rFonts w:hint="eastAsia" w:ascii="仿宋" w:hAnsi="仿宋" w:eastAsia="仿宋" w:cs="Times New Roman"/>
          <w:sz w:val="30"/>
          <w:szCs w:val="30"/>
        </w:rPr>
        <w:t>的支出。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10.因公出国（境）费用：反映单位公务出国（境）的国际旅费、国外城县间交通费、住宿费、伙食费、培训费、公杂费等支出。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11.公务接待费：反映单位按规定开支的各类公务接待（含外宾接待）费用。</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12.公务用车购置：反映公务用车车辆购置支出（含车辆购置税）。</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13.公务用车运行维护费：反映公务用车租用费、燃料费、维修费、过桥过路费、保险费、安全奖励费用等支出。</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14.机关运行经费：为保障行政单位和参照公务员法管理的事业单位运行使用一般公共预算财政拨款资金购买货物和服务的各项经费，即使用一般公共预算财政拨款资金安排的基本支出中的日常公用经费。</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 xml:space="preserve">    </w:t>
      </w:r>
      <w:r>
        <w:rPr>
          <w:rFonts w:hint="eastAsia" w:ascii="仿宋" w:hAnsi="仿宋" w:eastAsia="仿宋" w:cs="Times New Roman"/>
          <w:sz w:val="30"/>
          <w:szCs w:val="30"/>
        </w:rPr>
        <w:t>15.流动资产：是指一年以内变现或耗用的资产，包括库存现金、银行存款、零余额用款额度、财政应返还额度、应收及预付款项、存货等。</w:t>
      </w:r>
      <w:r>
        <w:rPr>
          <w:rFonts w:hint="eastAsia" w:ascii="仿宋" w:hAnsi="仿宋" w:eastAsia="仿宋" w:cs="Times New Roman"/>
          <w:sz w:val="30"/>
          <w:szCs w:val="30"/>
        </w:rPr>
        <w:br w:type="textWrapping"/>
      </w:r>
      <w:r>
        <w:rPr>
          <w:rFonts w:hint="eastAsia" w:ascii="仿宋" w:hAnsi="仿宋" w:eastAsia="仿宋" w:cs="Times New Roman"/>
          <w:sz w:val="30"/>
          <w:szCs w:val="30"/>
        </w:rPr>
        <w:t xml:space="preserve">    16.固定资产：是指使用期限超过1年（不含1年），单位价值在规定标准以上，并且在使用过程中基本保持原有物质形态的资产。</w:t>
      </w:r>
    </w:p>
    <w:p>
      <w:pPr>
        <w:widowControl w:val="0"/>
        <w:ind w:firstLine="630"/>
        <w:jc w:val="left"/>
        <w:rPr>
          <w:rFonts w:hint="eastAsia" w:ascii="仿宋" w:hAnsi="仿宋" w:eastAsia="仿宋" w:cs="Times New Roman"/>
          <w:sz w:val="30"/>
          <w:szCs w:val="30"/>
        </w:rPr>
      </w:pPr>
    </w:p>
    <w:p>
      <w:pPr>
        <w:ind w:firstLine="630"/>
        <w:jc w:val="left"/>
        <w:rPr>
          <w:rFonts w:ascii="仿宋" w:hAnsi="仿宋" w:eastAsia="仿宋"/>
          <w:sz w:val="24"/>
          <w:szCs w:val="24"/>
        </w:rPr>
      </w:pPr>
    </w:p>
    <w:p>
      <w:pPr>
        <w:ind w:firstLine="630"/>
        <w:jc w:val="left"/>
        <w:rPr>
          <w:rFonts w:eastAsia="Times New Roman"/>
          <w:sz w:val="24"/>
          <w:szCs w:val="24"/>
        </w:rPr>
      </w:pPr>
    </w:p>
    <w:p>
      <w:pPr>
        <w:jc w:val="left"/>
        <w:rPr>
          <w:rFonts w:ascii="宋体"/>
          <w:kern w:val="0"/>
          <w:sz w:val="24"/>
          <w:szCs w:val="24"/>
          <w:lang w:val="zh-CN"/>
        </w:rPr>
      </w:pPr>
    </w:p>
    <w:p>
      <w:pPr>
        <w:spacing w:line="360" w:lineRule="auto"/>
        <w:jc w:val="left"/>
        <w:rPr>
          <w:rFonts w:ascii="仿宋" w:hAnsi="仿宋" w:eastAsia="仿宋"/>
          <w:b/>
          <w:bCs/>
          <w:kern w:val="0"/>
          <w:sz w:val="24"/>
          <w:szCs w:val="24"/>
        </w:rPr>
      </w:pPr>
    </w:p>
    <w:p>
      <w:pPr>
        <w:spacing w:line="360" w:lineRule="auto"/>
        <w:jc w:val="both"/>
        <w:rPr>
          <w:rFonts w:ascii="宋体"/>
          <w:kern w:val="0"/>
          <w:sz w:val="28"/>
          <w:szCs w:val="28"/>
        </w:rPr>
      </w:pPr>
    </w:p>
    <w:sectPr>
      <w:headerReference r:id="rId3" w:type="default"/>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9575B"/>
    <w:multiLevelType w:val="singleLevel"/>
    <w:tmpl w:val="9049575B"/>
    <w:lvl w:ilvl="0" w:tentative="0">
      <w:start w:val="10"/>
      <w:numFmt w:val="chineseCounting"/>
      <w:suff w:val="nothing"/>
      <w:lvlText w:val="%1、"/>
      <w:lvlJc w:val="left"/>
      <w:rPr>
        <w:rFonts w:hint="eastAsia"/>
      </w:rPr>
    </w:lvl>
  </w:abstractNum>
  <w:abstractNum w:abstractNumId="1">
    <w:nsid w:val="AD017DAF"/>
    <w:multiLevelType w:val="singleLevel"/>
    <w:tmpl w:val="AD017DAF"/>
    <w:lvl w:ilvl="0" w:tentative="0">
      <w:start w:val="2"/>
      <w:numFmt w:val="chineseCounting"/>
      <w:suff w:val="nothing"/>
      <w:lvlText w:val="（%1）"/>
      <w:lvlJc w:val="left"/>
      <w:rPr>
        <w:rFonts w:hint="eastAsia"/>
      </w:rPr>
    </w:lvl>
  </w:abstractNum>
  <w:abstractNum w:abstractNumId="2">
    <w:nsid w:val="5A617917"/>
    <w:multiLevelType w:val="singleLevel"/>
    <w:tmpl w:val="5A6179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720"/>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E27D7"/>
    <w:rsid w:val="006111A1"/>
    <w:rsid w:val="007855F7"/>
    <w:rsid w:val="007B4B69"/>
    <w:rsid w:val="008453CE"/>
    <w:rsid w:val="008514AC"/>
    <w:rsid w:val="008947B7"/>
    <w:rsid w:val="00A20443"/>
    <w:rsid w:val="00B41E35"/>
    <w:rsid w:val="00C63362"/>
    <w:rsid w:val="012058F4"/>
    <w:rsid w:val="025772C3"/>
    <w:rsid w:val="05281F83"/>
    <w:rsid w:val="075C4127"/>
    <w:rsid w:val="09604EC8"/>
    <w:rsid w:val="09E15572"/>
    <w:rsid w:val="0D5A3944"/>
    <w:rsid w:val="183744F7"/>
    <w:rsid w:val="222B6432"/>
    <w:rsid w:val="225F0310"/>
    <w:rsid w:val="2322306C"/>
    <w:rsid w:val="256635DC"/>
    <w:rsid w:val="27AE0E90"/>
    <w:rsid w:val="28A1559D"/>
    <w:rsid w:val="2AB15F3C"/>
    <w:rsid w:val="2E8C09C7"/>
    <w:rsid w:val="2E976D90"/>
    <w:rsid w:val="3367171D"/>
    <w:rsid w:val="33707872"/>
    <w:rsid w:val="38A818B7"/>
    <w:rsid w:val="41C77F8D"/>
    <w:rsid w:val="46032D84"/>
    <w:rsid w:val="54475F12"/>
    <w:rsid w:val="58BF381F"/>
    <w:rsid w:val="5CD63B54"/>
    <w:rsid w:val="5CFD59E6"/>
    <w:rsid w:val="607A0B93"/>
    <w:rsid w:val="609506DB"/>
    <w:rsid w:val="616D040D"/>
    <w:rsid w:val="619B7094"/>
    <w:rsid w:val="63F31C93"/>
    <w:rsid w:val="65E938B5"/>
    <w:rsid w:val="68C278DF"/>
    <w:rsid w:val="6D5C2822"/>
    <w:rsid w:val="6DFA15BB"/>
    <w:rsid w:val="6E270AA5"/>
    <w:rsid w:val="6F5E3F5A"/>
    <w:rsid w:val="710D0FED"/>
    <w:rsid w:val="723C586F"/>
    <w:rsid w:val="742E35E3"/>
    <w:rsid w:val="74CA6A97"/>
    <w:rsid w:val="767150AC"/>
    <w:rsid w:val="77CF6E24"/>
    <w:rsid w:val="79C02DC0"/>
    <w:rsid w:val="7CBB66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 w:type="character" w:customStyle="1" w:styleId="8">
    <w:name w:val="font91"/>
    <w:basedOn w:val="5"/>
    <w:qFormat/>
    <w:uiPriority w:val="0"/>
    <w:rPr>
      <w:rFonts w:hint="eastAsia" w:ascii="黑体" w:eastAsia="黑体" w:cs="黑体"/>
      <w:color w:val="000000"/>
      <w:sz w:val="24"/>
      <w:szCs w:val="24"/>
      <w:u w:val="none"/>
    </w:rPr>
  </w:style>
  <w:style w:type="character" w:customStyle="1" w:styleId="9">
    <w:name w:val="font101"/>
    <w:basedOn w:val="5"/>
    <w:qFormat/>
    <w:uiPriority w:val="0"/>
    <w:rPr>
      <w:rFonts w:ascii="Arial" w:hAnsi="Arial" w:cs="Arial"/>
      <w:color w:val="000000"/>
      <w:sz w:val="20"/>
      <w:szCs w:val="20"/>
      <w:u w:val="none"/>
    </w:rPr>
  </w:style>
  <w:style w:type="character" w:customStyle="1" w:styleId="10">
    <w:name w:val="font61"/>
    <w:basedOn w:val="5"/>
    <w:qFormat/>
    <w:uiPriority w:val="0"/>
    <w:rPr>
      <w:rFonts w:hint="eastAsia" w:ascii="仿宋_GB2312" w:eastAsia="仿宋_GB2312" w:cs="仿宋_GB2312"/>
      <w:color w:val="000000"/>
      <w:sz w:val="20"/>
      <w:szCs w:val="20"/>
      <w:u w:val="none"/>
    </w:rPr>
  </w:style>
  <w:style w:type="character" w:customStyle="1" w:styleId="11">
    <w:name w:val="font12"/>
    <w:basedOn w:val="5"/>
    <w:qFormat/>
    <w:uiPriority w:val="0"/>
    <w:rPr>
      <w:rFonts w:hint="eastAsia" w:ascii="宋体" w:hAnsi="宋体" w:eastAsia="宋体" w:cs="宋体"/>
      <w:color w:val="000000"/>
      <w:sz w:val="20"/>
      <w:szCs w:val="20"/>
      <w:u w:val="none"/>
    </w:rPr>
  </w:style>
  <w:style w:type="character" w:customStyle="1" w:styleId="12">
    <w:name w:val="font81"/>
    <w:basedOn w:val="5"/>
    <w:qFormat/>
    <w:uiPriority w:val="0"/>
    <w:rPr>
      <w:rFonts w:hint="eastAsia" w:ascii="宋体" w:hAnsi="宋体" w:eastAsia="宋体" w:cs="宋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微软公司</Company>
  <Pages>1</Pages>
  <Words>589</Words>
  <Characters>3362</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2018-01-19T02:18:00Z</dcterms:created>
  <dc:creator>Administrator</dc:creator>
  <cp:lastModifiedBy>18507907869</cp:lastModifiedBy>
  <dcterms:modified xsi:type="dcterms:W3CDTF">2021-05-20T11:18:15Z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